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7A6" w:rsidRPr="007C17A6" w:rsidRDefault="007C17A6" w:rsidP="007C17A6">
      <w:pPr>
        <w:widowControl/>
        <w:spacing w:line="600" w:lineRule="exact"/>
        <w:rPr>
          <w:rFonts w:ascii="仿宋_GB2312" w:eastAsia="仿宋_GB2312" w:hAnsi="宋体" w:cs="宋体" w:hint="eastAsia"/>
          <w:bCs/>
          <w:color w:val="2D2D2D"/>
          <w:kern w:val="0"/>
          <w:sz w:val="32"/>
          <w:szCs w:val="32"/>
        </w:rPr>
      </w:pPr>
      <w:r w:rsidRPr="007C17A6">
        <w:rPr>
          <w:rFonts w:ascii="仿宋_GB2312" w:eastAsia="仿宋_GB2312" w:hAnsi="宋体" w:cs="宋体" w:hint="eastAsia"/>
          <w:bCs/>
          <w:color w:val="2D2D2D"/>
          <w:kern w:val="0"/>
          <w:sz w:val="32"/>
          <w:szCs w:val="32"/>
        </w:rPr>
        <w:t>附件4</w:t>
      </w:r>
    </w:p>
    <w:p w:rsidR="00395198" w:rsidRPr="00395198" w:rsidRDefault="00395198" w:rsidP="00395198">
      <w:pPr>
        <w:widowControl/>
        <w:spacing w:line="600" w:lineRule="exact"/>
        <w:jc w:val="center"/>
        <w:rPr>
          <w:rFonts w:ascii="方正小标宋简体" w:eastAsia="方正小标宋简体" w:hAnsi="宋体" w:cs="宋体"/>
          <w:color w:val="2D2D2D"/>
          <w:kern w:val="0"/>
          <w:sz w:val="44"/>
          <w:szCs w:val="44"/>
        </w:rPr>
      </w:pPr>
      <w:bookmarkStart w:id="0" w:name="_GoBack"/>
      <w:bookmarkEnd w:id="0"/>
      <w:r w:rsidRPr="00395198">
        <w:rPr>
          <w:rFonts w:ascii="方正小标宋简体" w:eastAsia="方正小标宋简体" w:hAnsi="宋体" w:cs="宋体" w:hint="eastAsia"/>
          <w:bCs/>
          <w:color w:val="2D2D2D"/>
          <w:kern w:val="0"/>
          <w:sz w:val="44"/>
          <w:szCs w:val="44"/>
        </w:rPr>
        <w:t>河南省教育厅</w:t>
      </w:r>
    </w:p>
    <w:p w:rsidR="00395198" w:rsidRPr="00395198" w:rsidRDefault="00395198" w:rsidP="00395198">
      <w:pPr>
        <w:widowControl/>
        <w:spacing w:line="600" w:lineRule="exact"/>
        <w:jc w:val="center"/>
        <w:rPr>
          <w:rFonts w:ascii="方正小标宋简体" w:eastAsia="方正小标宋简体" w:hAnsi="宋体" w:cs="宋体"/>
          <w:bCs/>
          <w:color w:val="2D2D2D"/>
          <w:kern w:val="0"/>
          <w:sz w:val="44"/>
          <w:szCs w:val="44"/>
        </w:rPr>
      </w:pPr>
      <w:r w:rsidRPr="00395198">
        <w:rPr>
          <w:rFonts w:ascii="方正小标宋简体" w:eastAsia="方正小标宋简体" w:hAnsi="宋体" w:cs="宋体" w:hint="eastAsia"/>
          <w:bCs/>
          <w:color w:val="2D2D2D"/>
          <w:kern w:val="0"/>
          <w:sz w:val="44"/>
          <w:szCs w:val="44"/>
        </w:rPr>
        <w:t>关于进一步规范我省教师系列专业技术职务评审材料审核等工作的通知</w:t>
      </w:r>
    </w:p>
    <w:p w:rsidR="00395198" w:rsidRPr="00395198" w:rsidRDefault="00395198" w:rsidP="00395198">
      <w:pPr>
        <w:jc w:val="center"/>
        <w:rPr>
          <w:rFonts w:ascii="仿宋_GB2312" w:eastAsia="仿宋_GB2312"/>
          <w:sz w:val="32"/>
          <w:szCs w:val="32"/>
        </w:rPr>
      </w:pPr>
      <w:r w:rsidRPr="00395198">
        <w:rPr>
          <w:rFonts w:ascii="仿宋_GB2312" w:eastAsia="仿宋_GB2312" w:hint="eastAsia"/>
          <w:sz w:val="32"/>
          <w:szCs w:val="32"/>
        </w:rPr>
        <w:t>教人〔2016〕817号</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各高等学校，中等职业学校，省直中小学校、幼儿园：</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为进一步规范我省教师系列专业技术职务评审材料审核、报送等工作，提高各教师系列专业技术职务任职资格评审工作质量，根据国家有关政策和我省职称改革工作要求，结合我省工作实际，现将有关工作要求通知如下：</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一、材料整理规范</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各高等学校、中等职业学校、省直中小学校、幼儿园职称评审材料应严格按照我省高级专业技术职务任职资格评审工作要求审核、整理、报送。个人业绩材料应严格按照各教师系列职称评审条件分类整理、提交。</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（一）业绩情况填写</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1、准确规范填写。《评审表》和《评审简表》中的个人信息及业绩情况应准确、规范填写，确保真实。《评审表》、《评审简表》相同栏目同一业绩的填写顺序应一致。</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2、业绩材料截止时间。参评业绩材料（包括论文、著作、成果、奖励等)的计算截止时间为所在单位职称申报推荐的时间。</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（二）评审材料整理</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1、高校参评教师系列的申报材料须按《河南省高校教师高</w:t>
      </w:r>
      <w:r w:rsidRPr="00395198">
        <w:rPr>
          <w:rFonts w:ascii="仿宋_GB2312" w:eastAsia="仿宋_GB2312" w:hint="eastAsia"/>
          <w:sz w:val="32"/>
          <w:szCs w:val="32"/>
        </w:rPr>
        <w:lastRenderedPageBreak/>
        <w:t>级职务任职资格申报评审材料整理规范》（附件1）的要求,分别整理装入档案袋，同时须制作总清单和分类材料清单。</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中等职业学校、省直中小学校、幼儿园教师及高等院校副教授任职资格考核认定的材料参照《河南省高校教师高级职务任职资格申报评审材料整理规范》（附件1）的要求整理，装入档案袋，同时须制作总清单和分类材料清单。</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2、各单位整理参评人员材料时，应保证各类材料在《评审表》、《评审简表》填写的次序与实际摆放顺序相一致。《评审简表》中列出的各类业绩材料填写顺序由填表人自行编排，其对应佐证材料须按《评审简表》中的业绩填写顺序排列，材料右上角应粘贴相同材料序号的标签。</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3、参评人员提交的申报材料中，教师资格证书、任职资格证书、学历学位证书等资格类证件须同时提交原件、复印件（审核原件、提交复印件）；其他各类材料，可不提证供复印件。</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4、提交的各类证书原件应尽量去掉证书封皮。</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5、所有业绩材料经所在单位审核并公开展示确认无异议后加盖单位公章（证书、证件等材料在复印件上加章）。</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6、材料汇总后装入材料袋，一人一袋。材料袋应采用结实耐用的拉链式布质手提袋子，袋子两面均要粘贴个人简明信息标识（建议采用白色医用胶布，尽量不使用吊牌、打印纸等易损、易丢材质），标注单位、姓名、专业、级别、评审类型及联系方式等。</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二、材料审核要求</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各单位应建立评审材料逐级审核机制。</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lastRenderedPageBreak/>
        <w:t xml:space="preserve">　　（一）参评人员提交的评审材料要做到分类规范、排列有序、清单明晰、“标签”正确。应保证业绩材料的数量，论文、著作的字数，以及期刊、项目、奖励的级别等与《评审表》、《评审简表》中内容一致。</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参评人员须签署并提交《专业技术职务任职资格评审材料真实性保证书》。</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（二）各单位负责对参评人员的业绩材料进行严格审核，确保材料齐全、真实、有效、规范。同时须在参评人员提交的《专业技术职务任职资格评审材料真实性保证书》上签字盖章。</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三、报（退）材料</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（一）报送材料时须由单位安排专人按时集中报送。</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二）各单位须同时提交学校职称工作主管校级领导签名并加盖单位公章的《专业技术职务任职资格评审材料审核责任承诺书》（见附件2），及个人《专业技术职务任职资格评审材料真实性保证书》装入档案袋，粘贴目录，注明单位名称，申报人数，姓名、系列、级别、专业、评审类型等。</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（三）清退材料时，各单位须按时领取材料，并及时退还本人。各级须严格管理和保管，如因申报单位造成材料的损坏、丢失等由单位负责。</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（四）在报送和清退材料过程中，如因不可抗力不能按时报送或返还，应及时报告。</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四、相关要求</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（一）提高认识，严格纪律。职称工作政策性强，涉及面广，关注度高，所有参与职称申报、评审工作的单位和工作人员，都</w:t>
      </w:r>
      <w:r w:rsidRPr="00395198">
        <w:rPr>
          <w:rFonts w:ascii="仿宋_GB2312" w:eastAsia="仿宋_GB2312" w:hint="eastAsia"/>
          <w:sz w:val="32"/>
          <w:szCs w:val="32"/>
        </w:rPr>
        <w:lastRenderedPageBreak/>
        <w:t>要牢固树立政治观念和服务意识，把纪律放在前面，将责任放在首位。</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（二）加强管理，确保安全。各级须严格管理，如造成申报人材料损坏、缺失等分别由相应单位负责。</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三）逐级负责，强化责任。申报评审材料实行逐级负责制，在职称申报、审核、推荐等环节中实行“谁审核，谁签名;谁签名，谁负责”的管理责任制。对提供或填报虚假材料的一经查实，按照《关于规范评审专业技术职务任职资格申报推荐工作的通知》、《关于进一步完善职称公开和公示制度有关问题的通知》、《河南省职称评聘工作责任追究办法》、《关于进一步严肃职称工作纪律的通知》等规定，逐级追究有关人员的责任，情节严重的，由相关部门给予党纪政纪处分。</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附件：1.河南省高校教师高级职务任职资格申报评审材料整理规范</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2.专业技术职务任职资格评审材料审核责任承诺书</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3.河南省职称评聘工作责任追究办法</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w:t>
      </w:r>
      <w:r w:rsidRPr="00395198">
        <w:rPr>
          <w:rFonts w:ascii="仿宋_GB2312" w:eastAsia="仿宋_GB2312" w:hint="eastAsia"/>
          <w:sz w:val="32"/>
          <w:szCs w:val="32"/>
        </w:rPr>
        <w:t> </w:t>
      </w:r>
      <w:r w:rsidRPr="00395198">
        <w:rPr>
          <w:rFonts w:ascii="仿宋_GB2312" w:eastAsia="仿宋_GB2312" w:hint="eastAsia"/>
          <w:sz w:val="32"/>
          <w:szCs w:val="32"/>
        </w:rPr>
        <w:t xml:space="preserve">　4.关于进一步严肃职称工作纪律的通知</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河南省教育厅</w:t>
      </w:r>
    </w:p>
    <w:p w:rsidR="00395198" w:rsidRPr="00395198" w:rsidRDefault="00395198" w:rsidP="00FD7D94">
      <w:pPr>
        <w:spacing w:line="560" w:lineRule="exact"/>
        <w:rPr>
          <w:rFonts w:ascii="仿宋_GB2312" w:eastAsia="仿宋_GB2312"/>
          <w:sz w:val="32"/>
          <w:szCs w:val="32"/>
        </w:rPr>
      </w:pPr>
      <w:r w:rsidRPr="00395198">
        <w:rPr>
          <w:rFonts w:ascii="仿宋_GB2312" w:eastAsia="仿宋_GB2312" w:hint="eastAsia"/>
          <w:sz w:val="32"/>
          <w:szCs w:val="32"/>
        </w:rPr>
        <w:t xml:space="preserve">　　2016年10月9日</w:t>
      </w:r>
    </w:p>
    <w:p w:rsidR="00395198" w:rsidRDefault="00395198" w:rsidP="00FD7D94">
      <w:pPr>
        <w:widowControl/>
        <w:spacing w:line="560" w:lineRule="exact"/>
        <w:jc w:val="left"/>
        <w:rPr>
          <w:rFonts w:ascii="仿宋_GB2312" w:eastAsia="仿宋_GB2312"/>
          <w:sz w:val="32"/>
          <w:szCs w:val="32"/>
        </w:rPr>
      </w:pPr>
    </w:p>
    <w:p w:rsidR="00395198" w:rsidRDefault="00395198" w:rsidP="00395198">
      <w:pPr>
        <w:rPr>
          <w:rFonts w:ascii="仿宋_GB2312" w:eastAsia="仿宋_GB2312"/>
          <w:sz w:val="32"/>
          <w:szCs w:val="32"/>
        </w:rPr>
        <w:sectPr w:rsidR="00395198" w:rsidSect="00FD7D94">
          <w:pgSz w:w="11906" w:h="16838"/>
          <w:pgMar w:top="1644" w:right="1588" w:bottom="1644" w:left="1588" w:header="851" w:footer="992" w:gutter="0"/>
          <w:cols w:space="425"/>
          <w:docGrid w:type="lines" w:linePitch="312"/>
        </w:sectPr>
      </w:pPr>
    </w:p>
    <w:p w:rsidR="00395198" w:rsidRDefault="00395198" w:rsidP="00395198">
      <w:pPr>
        <w:widowControl/>
        <w:jc w:val="left"/>
        <w:rPr>
          <w:rFonts w:ascii="黑体" w:eastAsia="黑体"/>
        </w:rPr>
      </w:pPr>
      <w:r>
        <w:rPr>
          <w:rFonts w:ascii="黑体" w:eastAsia="黑体" w:hint="eastAsia"/>
        </w:rPr>
        <w:lastRenderedPageBreak/>
        <w:t>附件</w:t>
      </w:r>
      <w:r>
        <w:rPr>
          <w:rFonts w:ascii="黑体" w:eastAsia="黑体"/>
        </w:rPr>
        <w:t>1</w:t>
      </w:r>
    </w:p>
    <w:p w:rsidR="00395198" w:rsidRDefault="00395198" w:rsidP="00395198">
      <w:pPr>
        <w:widowControl/>
        <w:jc w:val="left"/>
        <w:rPr>
          <w:rFonts w:ascii="黑体" w:eastAsia="黑体"/>
        </w:rPr>
      </w:pPr>
    </w:p>
    <w:p w:rsidR="00395198" w:rsidRDefault="00395198" w:rsidP="00395198">
      <w:pPr>
        <w:snapToGrid w:val="0"/>
        <w:jc w:val="center"/>
        <w:rPr>
          <w:rFonts w:ascii="方正小标宋简体" w:eastAsia="方正小标宋简体"/>
          <w:sz w:val="44"/>
          <w:szCs w:val="44"/>
        </w:rPr>
      </w:pPr>
      <w:r>
        <w:rPr>
          <w:rFonts w:ascii="方正小标宋简体" w:eastAsia="方正小标宋简体" w:hint="eastAsia"/>
          <w:sz w:val="44"/>
          <w:szCs w:val="44"/>
        </w:rPr>
        <w:t>河南省高校教师高级职务任职资格申报评审材料整理规范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991"/>
        <w:gridCol w:w="6986"/>
        <w:gridCol w:w="2945"/>
      </w:tblGrid>
      <w:tr w:rsidR="00395198" w:rsidTr="002D2EEE">
        <w:trPr>
          <w:trHeight w:val="445"/>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序号</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材料名称</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具体要求</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黑体" w:eastAsia="黑体"/>
                <w:sz w:val="28"/>
                <w:szCs w:val="28"/>
              </w:rPr>
            </w:pPr>
            <w:r>
              <w:rPr>
                <w:rFonts w:ascii="黑体" w:eastAsia="黑体" w:hint="eastAsia"/>
                <w:sz w:val="28"/>
                <w:szCs w:val="28"/>
              </w:rPr>
              <w:t>备注</w:t>
            </w:r>
          </w:p>
        </w:tc>
      </w:tr>
      <w:tr w:rsidR="00395198" w:rsidTr="002D2EEE">
        <w:trPr>
          <w:trHeight w:val="1762"/>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《评审表》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60"/>
              <w:rPr>
                <w:rFonts w:ascii="仿宋_GB2312"/>
                <w:sz w:val="28"/>
                <w:szCs w:val="28"/>
              </w:rPr>
            </w:pPr>
            <w:r>
              <w:rPr>
                <w:rFonts w:ascii="仿宋_GB2312" w:hint="eastAsia"/>
                <w:sz w:val="28"/>
                <w:szCs w:val="28"/>
              </w:rPr>
              <w:t>一式</w:t>
            </w:r>
            <w:r>
              <w:rPr>
                <w:rFonts w:ascii="仿宋_GB2312"/>
                <w:sz w:val="28"/>
                <w:szCs w:val="28"/>
              </w:rPr>
              <w:t>3</w:t>
            </w:r>
            <w:r>
              <w:rPr>
                <w:rFonts w:ascii="仿宋_GB2312" w:hint="eastAsia"/>
                <w:sz w:val="28"/>
                <w:szCs w:val="28"/>
              </w:rPr>
              <w:t>份，《评审表》第１页“相片”栏内粘贴本人近期免冠１寸照片，并在“单位人事部门电话”栏内详细填写单位及个人联系电话。</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1-2</w:t>
            </w:r>
            <w:r>
              <w:rPr>
                <w:rFonts w:ascii="仿宋_GB2312" w:hint="eastAsia"/>
                <w:sz w:val="28"/>
                <w:szCs w:val="28"/>
              </w:rPr>
              <w:t>项材料装入一个档案袋中，封面粘贴材料清单。</w:t>
            </w:r>
          </w:p>
        </w:tc>
      </w:tr>
      <w:tr w:rsidR="00395198" w:rsidTr="002D2EEE">
        <w:trPr>
          <w:trHeight w:val="2529"/>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2</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《评审简表》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60"/>
              <w:rPr>
                <w:rFonts w:ascii="仿宋_GB2312"/>
                <w:sz w:val="28"/>
                <w:szCs w:val="28"/>
              </w:rPr>
            </w:pPr>
            <w:r>
              <w:rPr>
                <w:rFonts w:ascii="仿宋_GB2312" w:hint="eastAsia"/>
                <w:sz w:val="28"/>
                <w:szCs w:val="28"/>
              </w:rPr>
              <w:t>使用《河南省职称工作信息系统》规范录入打印的个人评审简表一式</w:t>
            </w:r>
            <w:r>
              <w:rPr>
                <w:rFonts w:ascii="仿宋_GB2312"/>
                <w:sz w:val="28"/>
                <w:szCs w:val="28"/>
              </w:rPr>
              <w:t>35</w:t>
            </w:r>
            <w:r>
              <w:rPr>
                <w:rFonts w:ascii="仿宋_GB2312" w:hint="eastAsia"/>
                <w:sz w:val="28"/>
                <w:szCs w:val="28"/>
              </w:rPr>
              <w:t>份（其中参加答辩人员每人</w:t>
            </w:r>
            <w:r>
              <w:rPr>
                <w:rFonts w:ascii="仿宋_GB2312"/>
                <w:sz w:val="28"/>
                <w:szCs w:val="28"/>
              </w:rPr>
              <w:t>45</w:t>
            </w:r>
            <w:r>
              <w:rPr>
                <w:rFonts w:ascii="仿宋_GB2312" w:hint="eastAsia"/>
                <w:sz w:val="28"/>
                <w:szCs w:val="28"/>
              </w:rPr>
              <w:t>份）。应以学校为单位报送所属全部参评人员《评审简表》的电子文本，电子文本须以“学校名称</w:t>
            </w:r>
            <w:r>
              <w:rPr>
                <w:rFonts w:ascii="仿宋_GB2312"/>
                <w:sz w:val="28"/>
                <w:szCs w:val="28"/>
              </w:rPr>
              <w:t>+</w:t>
            </w:r>
            <w:r>
              <w:rPr>
                <w:rFonts w:ascii="仿宋_GB2312" w:hint="eastAsia"/>
                <w:sz w:val="28"/>
                <w:szCs w:val="28"/>
              </w:rPr>
              <w:t>正高人数（</w:t>
            </w:r>
            <w:r>
              <w:rPr>
                <w:rFonts w:ascii="仿宋_GB2312"/>
                <w:sz w:val="28"/>
                <w:szCs w:val="28"/>
              </w:rPr>
              <w:t>+</w:t>
            </w:r>
            <w:r>
              <w:rPr>
                <w:rFonts w:ascii="仿宋_GB2312" w:hint="eastAsia"/>
                <w:sz w:val="28"/>
                <w:szCs w:val="28"/>
              </w:rPr>
              <w:t>副高人数）</w:t>
            </w:r>
            <w:r>
              <w:rPr>
                <w:rFonts w:ascii="仿宋_GB2312"/>
                <w:sz w:val="28"/>
                <w:szCs w:val="28"/>
              </w:rPr>
              <w:t>.txt</w:t>
            </w:r>
            <w:r>
              <w:rPr>
                <w:rFonts w:ascii="仿宋_GB2312" w:hint="eastAsia"/>
                <w:sz w:val="28"/>
                <w:szCs w:val="28"/>
              </w:rPr>
              <w:t>”的格式命名。</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625"/>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3</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教师资格证书、任职资格证书、聘任证书（专业技术资格、执业资格）</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原件、复印件各</w:t>
            </w:r>
            <w:r>
              <w:rPr>
                <w:rFonts w:ascii="仿宋_GB2312"/>
                <w:sz w:val="28"/>
                <w:szCs w:val="28"/>
              </w:rPr>
              <w:t>1</w:t>
            </w:r>
            <w:r>
              <w:rPr>
                <w:rFonts w:ascii="仿宋_GB2312" w:hint="eastAsia"/>
                <w:sz w:val="28"/>
                <w:szCs w:val="28"/>
              </w:rPr>
              <w:t>份。省外或中央驻豫单位调入我省工作的人员，须按规定办理任职资格证书确认手续后，方可参加评审。如现任专业技术职务任职资格为转评取得，需提供转评前同等级任职资格证书、聘任证书。</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3-4</w:t>
            </w:r>
            <w:r>
              <w:rPr>
                <w:rFonts w:ascii="仿宋_GB2312" w:hint="eastAsia"/>
                <w:sz w:val="28"/>
                <w:szCs w:val="28"/>
              </w:rPr>
              <w:t>项材料单独装入一个档案袋中，封面粘贴材料清单。原件、复印件分别装袋，审验结束</w:t>
            </w:r>
            <w:r>
              <w:rPr>
                <w:rFonts w:ascii="仿宋_GB2312" w:hint="eastAsia"/>
                <w:sz w:val="28"/>
                <w:szCs w:val="28"/>
              </w:rPr>
              <w:lastRenderedPageBreak/>
              <w:t>时原件退回。</w:t>
            </w:r>
          </w:p>
        </w:tc>
      </w:tr>
      <w:tr w:rsidR="00395198" w:rsidTr="002D2EEE">
        <w:trPr>
          <w:trHeight w:val="1380"/>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lastRenderedPageBreak/>
              <w:t>4</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最高学历、学位证书及第一学历、学位证书</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原件、复印件各</w:t>
            </w:r>
            <w:r>
              <w:rPr>
                <w:rFonts w:ascii="仿宋_GB2312"/>
                <w:sz w:val="28"/>
                <w:szCs w:val="28"/>
              </w:rPr>
              <w:t>1</w:t>
            </w:r>
            <w:r>
              <w:rPr>
                <w:rFonts w:ascii="仿宋_GB2312" w:hint="eastAsia"/>
                <w:sz w:val="28"/>
                <w:szCs w:val="28"/>
              </w:rPr>
              <w:t>份。属于补发、换发的毕业证须同时提交学籍档案；毕业证丢失的，应由单位出具查档证明并提交人事档案。</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317"/>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5</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年度考核登记表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原件或加盖人事部门公章的复印件。任职年限超过</w:t>
            </w:r>
            <w:r>
              <w:rPr>
                <w:rFonts w:ascii="仿宋_GB2312"/>
                <w:sz w:val="28"/>
                <w:szCs w:val="28"/>
              </w:rPr>
              <w:t>5</w:t>
            </w:r>
            <w:r>
              <w:rPr>
                <w:rFonts w:ascii="仿宋_GB2312" w:hint="eastAsia"/>
                <w:sz w:val="28"/>
                <w:szCs w:val="28"/>
              </w:rPr>
              <w:t>年的，为近</w:t>
            </w:r>
            <w:r>
              <w:rPr>
                <w:rFonts w:ascii="仿宋_GB2312"/>
                <w:sz w:val="28"/>
                <w:szCs w:val="28"/>
              </w:rPr>
              <w:t>5</w:t>
            </w:r>
            <w:r>
              <w:rPr>
                <w:rFonts w:ascii="仿宋_GB2312" w:hint="eastAsia"/>
                <w:sz w:val="28"/>
                <w:szCs w:val="28"/>
              </w:rPr>
              <w:t>年。</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00" w:firstLine="280"/>
              <w:rPr>
                <w:rFonts w:ascii="仿宋_GB2312"/>
                <w:sz w:val="28"/>
                <w:szCs w:val="28"/>
              </w:rPr>
            </w:pPr>
            <w:r>
              <w:rPr>
                <w:rFonts w:ascii="仿宋_GB2312"/>
                <w:sz w:val="28"/>
                <w:szCs w:val="28"/>
              </w:rPr>
              <w:t>5-7</w:t>
            </w:r>
            <w:r>
              <w:rPr>
                <w:rFonts w:ascii="仿宋_GB2312" w:hint="eastAsia"/>
                <w:sz w:val="28"/>
                <w:szCs w:val="28"/>
              </w:rPr>
              <w:t>项材料单独装入一个档案袋中，封面粘贴材料清单。</w:t>
            </w:r>
          </w:p>
        </w:tc>
      </w:tr>
      <w:tr w:rsidR="00395198" w:rsidTr="002D2EEE">
        <w:trPr>
          <w:trHeight w:val="773"/>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6</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pacing w:val="-6"/>
                <w:sz w:val="28"/>
                <w:szCs w:val="28"/>
              </w:rPr>
            </w:pPr>
            <w:r>
              <w:rPr>
                <w:rFonts w:ascii="仿宋_GB2312" w:hint="eastAsia"/>
                <w:spacing w:val="-6"/>
                <w:sz w:val="28"/>
                <w:szCs w:val="28"/>
              </w:rPr>
              <w:t>教学质量考评结果材料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文件（或原始材料）或加盖教务部门公章的复印件。任职年限超过</w:t>
            </w:r>
            <w:r>
              <w:rPr>
                <w:rFonts w:ascii="仿宋_GB2312"/>
                <w:sz w:val="28"/>
                <w:szCs w:val="28"/>
              </w:rPr>
              <w:t>5</w:t>
            </w:r>
            <w:r>
              <w:rPr>
                <w:rFonts w:ascii="仿宋_GB2312" w:hint="eastAsia"/>
                <w:sz w:val="28"/>
                <w:szCs w:val="28"/>
              </w:rPr>
              <w:t>年的，为近</w:t>
            </w:r>
            <w:r>
              <w:rPr>
                <w:rFonts w:ascii="仿宋_GB2312"/>
                <w:sz w:val="28"/>
                <w:szCs w:val="28"/>
              </w:rPr>
              <w:t>5</w:t>
            </w:r>
            <w:r>
              <w:rPr>
                <w:rFonts w:ascii="仿宋_GB2312" w:hint="eastAsia"/>
                <w:sz w:val="28"/>
                <w:szCs w:val="28"/>
              </w:rPr>
              <w:t>年。</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926"/>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7</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left"/>
              <w:rPr>
                <w:rFonts w:ascii="仿宋_GB2312"/>
                <w:spacing w:val="-10"/>
                <w:sz w:val="28"/>
                <w:szCs w:val="28"/>
              </w:rPr>
            </w:pPr>
            <w:r>
              <w:rPr>
                <w:rFonts w:ascii="仿宋_GB2312" w:hint="eastAsia"/>
                <w:spacing w:val="-10"/>
                <w:sz w:val="28"/>
                <w:szCs w:val="28"/>
              </w:rPr>
              <w:t>教学技能竞赛、优秀教师等教育教学类奖励证书</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原件</w:t>
            </w:r>
            <w:r>
              <w:rPr>
                <w:rFonts w:ascii="仿宋_GB2312"/>
                <w:sz w:val="28"/>
                <w:szCs w:val="28"/>
              </w:rPr>
              <w:t>1</w:t>
            </w:r>
            <w:r>
              <w:rPr>
                <w:rFonts w:ascii="仿宋_GB2312" w:hint="eastAsia"/>
                <w:sz w:val="28"/>
                <w:szCs w:val="28"/>
              </w:rPr>
              <w:t>份。</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8</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教案</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申报高校教师高级职务任职资格的人员提交</w:t>
            </w:r>
            <w:r>
              <w:rPr>
                <w:rFonts w:ascii="仿宋_GB2312"/>
                <w:sz w:val="28"/>
                <w:szCs w:val="28"/>
              </w:rPr>
              <w:t>1</w:t>
            </w:r>
            <w:r>
              <w:rPr>
                <w:rFonts w:ascii="仿宋_GB2312" w:hint="eastAsia"/>
                <w:sz w:val="28"/>
                <w:szCs w:val="28"/>
              </w:rPr>
              <w:t>章教案；申报高级实验师任职资格的人员提交</w:t>
            </w:r>
            <w:r>
              <w:rPr>
                <w:rFonts w:ascii="仿宋_GB2312"/>
                <w:sz w:val="28"/>
                <w:szCs w:val="28"/>
              </w:rPr>
              <w:t>2</w:t>
            </w:r>
            <w:r>
              <w:rPr>
                <w:rFonts w:ascii="仿宋_GB2312" w:hint="eastAsia"/>
                <w:sz w:val="28"/>
                <w:szCs w:val="28"/>
              </w:rPr>
              <w:t>份实验教案（复印件需加盖教务部门公章）。</w:t>
            </w:r>
          </w:p>
        </w:tc>
        <w:tc>
          <w:tcPr>
            <w:tcW w:w="2945" w:type="dxa"/>
            <w:vMerge w:val="restart"/>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8-12</w:t>
            </w:r>
            <w:r>
              <w:rPr>
                <w:rFonts w:ascii="仿宋_GB2312" w:hint="eastAsia"/>
                <w:sz w:val="28"/>
                <w:szCs w:val="28"/>
              </w:rPr>
              <w:t>项材料装入一个档案袋中，封面粘贴材料清单。</w:t>
            </w: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9</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申报教授任职资格答辩评议情况表</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sz w:val="28"/>
                <w:szCs w:val="28"/>
              </w:rPr>
              <w:t>2002</w:t>
            </w:r>
            <w:r>
              <w:rPr>
                <w:rFonts w:ascii="仿宋_GB2312" w:hint="eastAsia"/>
                <w:sz w:val="28"/>
                <w:szCs w:val="28"/>
              </w:rPr>
              <w:t>年以前升格为普通本科院校的申报教授职务的人员，在学校进行答辩，报送材料时须提交。</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10</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论文外审意见材料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00" w:firstLine="280"/>
              <w:rPr>
                <w:rFonts w:ascii="仿宋_GB2312"/>
                <w:sz w:val="28"/>
                <w:szCs w:val="28"/>
              </w:rPr>
            </w:pPr>
            <w:r>
              <w:rPr>
                <w:rFonts w:ascii="仿宋_GB2312" w:hint="eastAsia"/>
                <w:sz w:val="28"/>
                <w:szCs w:val="28"/>
              </w:rPr>
              <w:t>全日制本科高校申报教授职务人员，须提交</w:t>
            </w:r>
            <w:r>
              <w:rPr>
                <w:rFonts w:ascii="仿宋_GB2312"/>
                <w:sz w:val="28"/>
                <w:szCs w:val="28"/>
              </w:rPr>
              <w:t>2</w:t>
            </w:r>
            <w:r>
              <w:rPr>
                <w:rFonts w:ascii="仿宋_GB2312" w:hint="eastAsia"/>
                <w:sz w:val="28"/>
                <w:szCs w:val="28"/>
              </w:rPr>
              <w:t>名以上校外专家签署的论文审阅意见材料。</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11</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专题推荐报告、同行高级专家推荐意见</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任职年限破格人员，提交单位反映申报人业绩成果的专题推荐报告和</w:t>
            </w:r>
            <w:r>
              <w:rPr>
                <w:rFonts w:ascii="仿宋_GB2312"/>
                <w:sz w:val="28"/>
                <w:szCs w:val="28"/>
              </w:rPr>
              <w:t>2</w:t>
            </w:r>
            <w:r>
              <w:rPr>
                <w:rFonts w:ascii="仿宋_GB2312" w:hint="eastAsia"/>
                <w:sz w:val="28"/>
                <w:szCs w:val="28"/>
              </w:rPr>
              <w:t>名以上同行高级专家推荐意见。</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12</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个人业务自传</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参加答辩人员提交个人业务自传一式</w:t>
            </w:r>
            <w:r>
              <w:rPr>
                <w:rFonts w:ascii="仿宋_GB2312"/>
                <w:sz w:val="28"/>
                <w:szCs w:val="28"/>
              </w:rPr>
              <w:t>10</w:t>
            </w:r>
            <w:r>
              <w:rPr>
                <w:rFonts w:ascii="仿宋_GB2312" w:hint="eastAsia"/>
                <w:sz w:val="28"/>
                <w:szCs w:val="28"/>
              </w:rPr>
              <w:t>份。</w:t>
            </w:r>
          </w:p>
        </w:tc>
        <w:tc>
          <w:tcPr>
            <w:tcW w:w="2945" w:type="dxa"/>
            <w:vMerge/>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p>
        </w:tc>
      </w:tr>
      <w:tr w:rsidR="00395198" w:rsidTr="002D2EEE">
        <w:trPr>
          <w:trHeight w:val="1203"/>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lastRenderedPageBreak/>
              <w:t>13</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pacing w:val="-10"/>
                <w:sz w:val="28"/>
                <w:szCs w:val="28"/>
              </w:rPr>
            </w:pPr>
            <w:r>
              <w:rPr>
                <w:rFonts w:ascii="仿宋_GB2312" w:hint="eastAsia"/>
                <w:spacing w:val="-10"/>
                <w:sz w:val="28"/>
                <w:szCs w:val="28"/>
              </w:rPr>
              <w:t>任现职以来课题结项证书、获奖证书、专利证书、成果鉴定证书、教学工程项目及经济、社会效益等主要业绩材料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150" w:firstLine="420"/>
              <w:rPr>
                <w:rFonts w:ascii="仿宋_GB2312"/>
                <w:sz w:val="28"/>
                <w:szCs w:val="28"/>
              </w:rPr>
            </w:pPr>
            <w:r>
              <w:rPr>
                <w:rFonts w:ascii="仿宋_GB2312" w:hint="eastAsia"/>
                <w:sz w:val="28"/>
                <w:szCs w:val="28"/>
              </w:rPr>
              <w:t>证书（含批准文件和证明材料）原件</w:t>
            </w:r>
            <w:r>
              <w:rPr>
                <w:rFonts w:ascii="仿宋_GB2312"/>
                <w:sz w:val="28"/>
                <w:szCs w:val="28"/>
              </w:rPr>
              <w:t>1</w:t>
            </w:r>
            <w:r>
              <w:rPr>
                <w:rFonts w:ascii="仿宋_GB2312" w:hint="eastAsia"/>
                <w:sz w:val="28"/>
                <w:szCs w:val="28"/>
              </w:rPr>
              <w:t>份（“课题”需提交立项、结项材料；教学工程项目应提交教育行政部门的批准立项文件、结项材料、原始申报材料和学校主管部门签字并加盖公章的证明材料；“主持人或参加名次”按照主持人为第一名，其它名次往后顺延）。</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所有证书（批准文件和证明材料）单独装入一个档案袋中，封面粘贴材料清单，其他支撑材料按顺序打捆归置。</w:t>
            </w:r>
          </w:p>
        </w:tc>
      </w:tr>
      <w:tr w:rsidR="00395198" w:rsidTr="002D2EEE">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14</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任现职以来正式发表、出版的代表性论文、著作和检索</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ind w:firstLineChars="200" w:firstLine="528"/>
              <w:rPr>
                <w:rFonts w:ascii="仿宋_GB2312"/>
                <w:spacing w:val="-8"/>
                <w:sz w:val="28"/>
                <w:szCs w:val="28"/>
              </w:rPr>
            </w:pPr>
            <w:r>
              <w:rPr>
                <w:rFonts w:ascii="仿宋_GB2312" w:hint="eastAsia"/>
                <w:spacing w:val="-8"/>
                <w:sz w:val="28"/>
                <w:szCs w:val="28"/>
              </w:rPr>
              <w:t>论文、著作须提交材料原件（加盖单位人事部门公章），论文正文第一页、“合著”作者编写的章节均要折叠便于翻阅。论文须指定鉴定篇目，其中，申报副高级职务的鉴定１篇，申报正高级职务和破格申报人员鉴定</w:t>
            </w:r>
            <w:r>
              <w:rPr>
                <w:rFonts w:ascii="仿宋_GB2312"/>
                <w:spacing w:val="-8"/>
                <w:sz w:val="28"/>
                <w:szCs w:val="28"/>
              </w:rPr>
              <w:t>2</w:t>
            </w:r>
            <w:r>
              <w:rPr>
                <w:rFonts w:ascii="仿宋_GB2312" w:hint="eastAsia"/>
                <w:spacing w:val="-8"/>
                <w:sz w:val="28"/>
                <w:szCs w:val="28"/>
              </w:rPr>
              <w:t>篇。</w:t>
            </w:r>
          </w:p>
          <w:p w:rsidR="00395198" w:rsidRDefault="00395198" w:rsidP="002D2EEE">
            <w:pPr>
              <w:snapToGrid w:val="0"/>
              <w:ind w:firstLineChars="200" w:firstLine="560"/>
              <w:rPr>
                <w:rFonts w:ascii="仿宋_GB2312"/>
                <w:sz w:val="28"/>
                <w:szCs w:val="28"/>
              </w:rPr>
            </w:pPr>
            <w:r>
              <w:rPr>
                <w:rFonts w:ascii="仿宋_GB2312" w:hint="eastAsia"/>
                <w:sz w:val="28"/>
                <w:szCs w:val="28"/>
              </w:rPr>
              <w:t>论文、著作应提交符合要求的网站检索页（加盖单位人事部门公章），近期发表的论文、著作无法检索的，须提供学校或出版社证明；被</w:t>
            </w:r>
            <w:r>
              <w:rPr>
                <w:rFonts w:ascii="仿宋_GB2312"/>
                <w:sz w:val="28"/>
                <w:szCs w:val="28"/>
              </w:rPr>
              <w:t>SCI</w:t>
            </w:r>
            <w:r>
              <w:rPr>
                <w:rFonts w:ascii="仿宋_GB2312" w:hint="eastAsia"/>
                <w:sz w:val="28"/>
                <w:szCs w:val="28"/>
              </w:rPr>
              <w:t>、</w:t>
            </w:r>
            <w:r>
              <w:rPr>
                <w:rFonts w:ascii="仿宋_GB2312"/>
                <w:sz w:val="28"/>
                <w:szCs w:val="28"/>
              </w:rPr>
              <w:t>EI</w:t>
            </w:r>
            <w:r>
              <w:rPr>
                <w:rFonts w:ascii="仿宋_GB2312" w:hint="eastAsia"/>
                <w:sz w:val="28"/>
                <w:szCs w:val="28"/>
              </w:rPr>
              <w:t>、</w:t>
            </w:r>
            <w:r>
              <w:rPr>
                <w:rFonts w:ascii="仿宋_GB2312"/>
                <w:sz w:val="28"/>
                <w:szCs w:val="28"/>
              </w:rPr>
              <w:t>ISTP</w:t>
            </w:r>
            <w:r>
              <w:rPr>
                <w:rFonts w:ascii="仿宋_GB2312" w:hint="eastAsia"/>
                <w:sz w:val="28"/>
                <w:szCs w:val="28"/>
              </w:rPr>
              <w:t>或</w:t>
            </w:r>
            <w:r>
              <w:rPr>
                <w:rFonts w:ascii="仿宋_GB2312"/>
                <w:sz w:val="28"/>
                <w:szCs w:val="28"/>
              </w:rPr>
              <w:t>A</w:t>
            </w:r>
            <w:r>
              <w:rPr>
                <w:rFonts w:ascii="仿宋_GB2312" w:hint="eastAsia"/>
                <w:sz w:val="28"/>
                <w:szCs w:val="28"/>
              </w:rPr>
              <w:t>＆</w:t>
            </w:r>
            <w:r>
              <w:rPr>
                <w:rFonts w:ascii="仿宋_GB2312"/>
                <w:sz w:val="28"/>
                <w:szCs w:val="28"/>
              </w:rPr>
              <w:t>HCI</w:t>
            </w:r>
            <w:r>
              <w:rPr>
                <w:rFonts w:ascii="仿宋_GB2312" w:hint="eastAsia"/>
                <w:sz w:val="28"/>
                <w:szCs w:val="28"/>
              </w:rPr>
              <w:t>、</w:t>
            </w:r>
            <w:r>
              <w:rPr>
                <w:rFonts w:ascii="仿宋_GB2312"/>
                <w:sz w:val="28"/>
                <w:szCs w:val="28"/>
              </w:rPr>
              <w:t>CSSCI</w:t>
            </w:r>
            <w:r>
              <w:rPr>
                <w:rFonts w:ascii="仿宋_GB2312" w:hint="eastAsia"/>
                <w:sz w:val="28"/>
                <w:szCs w:val="28"/>
              </w:rPr>
              <w:t>等收录的需提供收录证明。检索页和收录证明放置于论文第一页或著作（教材）版权页处。</w:t>
            </w:r>
          </w:p>
          <w:p w:rsidR="00395198" w:rsidRDefault="00395198" w:rsidP="002D2EEE">
            <w:pPr>
              <w:snapToGrid w:val="0"/>
              <w:ind w:firstLineChars="200" w:firstLine="560"/>
              <w:rPr>
                <w:rFonts w:ascii="仿宋_GB2312"/>
                <w:sz w:val="28"/>
                <w:szCs w:val="28"/>
              </w:rPr>
            </w:pPr>
            <w:r>
              <w:rPr>
                <w:rFonts w:ascii="仿宋_GB2312" w:hint="eastAsia"/>
                <w:sz w:val="28"/>
                <w:szCs w:val="28"/>
              </w:rPr>
              <w:t>检索、收录证明及论文、论著的目录、正文标题及本人名字处用笔标示。</w:t>
            </w:r>
          </w:p>
          <w:p w:rsidR="00395198" w:rsidRDefault="00395198" w:rsidP="002D2EEE">
            <w:pPr>
              <w:snapToGrid w:val="0"/>
              <w:ind w:firstLineChars="200" w:firstLine="528"/>
              <w:rPr>
                <w:rFonts w:ascii="仿宋_GB2312"/>
                <w:sz w:val="28"/>
                <w:szCs w:val="28"/>
              </w:rPr>
            </w:pPr>
            <w:r>
              <w:rPr>
                <w:rFonts w:ascii="仿宋_GB2312" w:hint="eastAsia"/>
                <w:spacing w:val="-8"/>
                <w:sz w:val="28"/>
                <w:szCs w:val="28"/>
              </w:rPr>
              <w:t>合著作者不显示编写章节的，须提供出版社出具的字数证明，否则将按参编人员总数平均计算个人撰写字数。</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论文、著作（教材）分别打捆，并在第一本上方放置材料清单。</w:t>
            </w:r>
          </w:p>
        </w:tc>
      </w:tr>
      <w:tr w:rsidR="00395198" w:rsidTr="002D2EEE">
        <w:trPr>
          <w:trHeight w:val="936"/>
          <w:jc w:val="center"/>
        </w:trPr>
        <w:tc>
          <w:tcPr>
            <w:tcW w:w="817"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sz w:val="28"/>
                <w:szCs w:val="28"/>
              </w:rPr>
              <w:t>15</w:t>
            </w:r>
          </w:p>
        </w:tc>
        <w:tc>
          <w:tcPr>
            <w:tcW w:w="2991"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jc w:val="center"/>
              <w:rPr>
                <w:rFonts w:ascii="仿宋_GB2312"/>
                <w:sz w:val="28"/>
                <w:szCs w:val="28"/>
              </w:rPr>
            </w:pPr>
            <w:r>
              <w:rPr>
                <w:rFonts w:ascii="仿宋_GB2312" w:hint="eastAsia"/>
                <w:sz w:val="28"/>
                <w:szCs w:val="28"/>
              </w:rPr>
              <w:t>其他材料</w:t>
            </w:r>
          </w:p>
        </w:tc>
        <w:tc>
          <w:tcPr>
            <w:tcW w:w="6986"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评审条件中所要求的其他材料、证明，以及其他代表申报人学术、技术水平的材料原件。如没有，可不提供。</w:t>
            </w:r>
          </w:p>
        </w:tc>
        <w:tc>
          <w:tcPr>
            <w:tcW w:w="2945" w:type="dxa"/>
            <w:tcBorders>
              <w:top w:val="single" w:sz="4" w:space="0" w:color="auto"/>
              <w:left w:val="single" w:sz="4" w:space="0" w:color="auto"/>
              <w:bottom w:val="single" w:sz="4" w:space="0" w:color="auto"/>
              <w:right w:val="single" w:sz="4" w:space="0" w:color="auto"/>
            </w:tcBorders>
            <w:vAlign w:val="center"/>
          </w:tcPr>
          <w:p w:rsidR="00395198" w:rsidRDefault="00395198" w:rsidP="002D2EEE">
            <w:pPr>
              <w:snapToGrid w:val="0"/>
              <w:rPr>
                <w:rFonts w:ascii="仿宋_GB2312"/>
                <w:sz w:val="28"/>
                <w:szCs w:val="28"/>
              </w:rPr>
            </w:pPr>
            <w:r>
              <w:rPr>
                <w:rFonts w:ascii="仿宋_GB2312" w:hint="eastAsia"/>
                <w:sz w:val="28"/>
                <w:szCs w:val="28"/>
              </w:rPr>
              <w:t>材料装入一个档案袋中，封面粘贴材料清单。</w:t>
            </w:r>
          </w:p>
        </w:tc>
      </w:tr>
    </w:tbl>
    <w:p w:rsidR="00395198" w:rsidRDefault="00395198" w:rsidP="00395198">
      <w:pPr>
        <w:ind w:firstLineChars="350" w:firstLine="1120"/>
        <w:rPr>
          <w:rFonts w:ascii="仿宋_GB2312"/>
          <w:sz w:val="32"/>
          <w:szCs w:val="32"/>
        </w:rPr>
        <w:sectPr w:rsidR="00395198">
          <w:footerReference w:type="default" r:id="rId6"/>
          <w:pgSz w:w="16838" w:h="11906" w:orient="landscape"/>
          <w:pgMar w:top="1644" w:right="1985" w:bottom="1588" w:left="1928" w:header="0" w:footer="1588" w:gutter="0"/>
          <w:cols w:space="720"/>
          <w:docGrid w:type="lines" w:linePitch="312"/>
        </w:sectPr>
      </w:pPr>
    </w:p>
    <w:p w:rsidR="00395198" w:rsidRDefault="00395198" w:rsidP="00395198">
      <w:pPr>
        <w:rPr>
          <w:rFonts w:ascii="仿宋_GB2312" w:hAnsi="宋体"/>
          <w:szCs w:val="24"/>
        </w:rPr>
      </w:pPr>
    </w:p>
    <w:p w:rsidR="00395198" w:rsidRDefault="00395198" w:rsidP="00395198">
      <w:pPr>
        <w:snapToGrid w:val="0"/>
        <w:jc w:val="center"/>
        <w:rPr>
          <w:rFonts w:ascii="方正小标宋简体" w:eastAsia="方正小标宋简体" w:hAnsi="新宋体"/>
          <w:sz w:val="44"/>
          <w:szCs w:val="44"/>
        </w:rPr>
      </w:pPr>
      <w:r>
        <w:rPr>
          <w:rFonts w:ascii="方正小标宋简体" w:eastAsia="方正小标宋简体" w:hAnsi="新宋体" w:hint="eastAsia"/>
          <w:sz w:val="44"/>
          <w:szCs w:val="44"/>
        </w:rPr>
        <w:t>专业技术职务任职资格评审材料审核责任承  诺  书</w:t>
      </w:r>
    </w:p>
    <w:p w:rsidR="00395198" w:rsidRDefault="00395198" w:rsidP="00395198">
      <w:pPr>
        <w:jc w:val="center"/>
        <w:rPr>
          <w:rFonts w:ascii="新宋体" w:eastAsia="新宋体" w:hAnsi="新宋体"/>
          <w:b/>
          <w:sz w:val="36"/>
          <w:szCs w:val="36"/>
        </w:rPr>
      </w:pPr>
    </w:p>
    <w:p w:rsidR="00395198" w:rsidRDefault="000465A9" w:rsidP="00395198">
      <w:pPr>
        <w:ind w:firstLine="615"/>
        <w:rPr>
          <w:rFonts w:ascii="仿宋_GB2312" w:hAnsi="新宋体"/>
        </w:rPr>
      </w:pPr>
      <w:r>
        <w:rPr>
          <w:rFonts w:ascii="仿宋_GB2312" w:hAnsi="新宋体" w:hint="eastAsia"/>
          <w:u w:val="single"/>
        </w:rPr>
        <w:t>河南</w:t>
      </w:r>
      <w:r>
        <w:rPr>
          <w:rFonts w:ascii="仿宋_GB2312" w:hAnsi="新宋体"/>
          <w:u w:val="single"/>
        </w:rPr>
        <w:t>推拿职业学院</w:t>
      </w:r>
      <w:r w:rsidR="00395198">
        <w:rPr>
          <w:rFonts w:ascii="仿宋_GB2312" w:hAnsi="新宋体"/>
          <w:u w:val="single"/>
        </w:rPr>
        <w:t xml:space="preserve"> </w:t>
      </w:r>
      <w:r w:rsidR="00395198">
        <w:rPr>
          <w:rFonts w:ascii="仿宋_GB2312" w:hAnsi="新宋体" w:hint="eastAsia"/>
        </w:rPr>
        <w:t>承诺</w:t>
      </w:r>
      <w:r w:rsidR="00395198">
        <w:rPr>
          <w:rFonts w:ascii="仿宋_GB2312" w:hAnsi="新宋体"/>
          <w:u w:val="single"/>
        </w:rPr>
        <w:t xml:space="preserve"> </w:t>
      </w:r>
      <w:r>
        <w:rPr>
          <w:rFonts w:ascii="仿宋_GB2312" w:hAnsi="新宋体"/>
          <w:u w:val="single"/>
        </w:rPr>
        <w:t>2016</w:t>
      </w:r>
      <w:r w:rsidR="00395198">
        <w:rPr>
          <w:rFonts w:ascii="仿宋_GB2312" w:hAnsi="新宋体"/>
          <w:u w:val="single"/>
        </w:rPr>
        <w:t xml:space="preserve"> </w:t>
      </w:r>
      <w:r w:rsidR="00395198">
        <w:rPr>
          <w:rFonts w:ascii="仿宋_GB2312" w:hAnsi="新宋体" w:hint="eastAsia"/>
        </w:rPr>
        <w:t>年本单位参评人员所申报的材料属实，校内已经过教务、科研、人事等部门审核，所提供各种资料、证明、相关证书、业绩成果、论文论著等材料真实可靠，简表与所提供材料一致。如有任何不实，愿按照《关于进一步严肃职称工作纪律的通知》（豫人〔</w:t>
      </w:r>
      <w:r w:rsidR="00395198">
        <w:rPr>
          <w:rFonts w:ascii="仿宋_GB2312" w:hAnsi="新宋体"/>
        </w:rPr>
        <w:t>2002</w:t>
      </w:r>
      <w:r w:rsidR="00395198">
        <w:rPr>
          <w:rFonts w:ascii="仿宋_GB2312" w:hAnsi="新宋体" w:hint="eastAsia"/>
        </w:rPr>
        <w:t>〕</w:t>
      </w:r>
      <w:r w:rsidR="00395198">
        <w:rPr>
          <w:rFonts w:ascii="仿宋_GB2312" w:hAnsi="新宋体"/>
        </w:rPr>
        <w:t>30</w:t>
      </w:r>
      <w:r w:rsidR="00395198">
        <w:rPr>
          <w:rFonts w:ascii="仿宋_GB2312" w:hAnsi="新宋体" w:hint="eastAsia"/>
        </w:rPr>
        <w:t>号）、《河南省职称评聘工作责任追究办法》（豫人社职称〔</w:t>
      </w:r>
      <w:r w:rsidR="00395198">
        <w:rPr>
          <w:rFonts w:ascii="仿宋_GB2312" w:hAnsi="新宋体"/>
        </w:rPr>
        <w:t>2013</w:t>
      </w:r>
      <w:r w:rsidR="00395198">
        <w:rPr>
          <w:rFonts w:ascii="仿宋_GB2312" w:hAnsi="新宋体" w:hint="eastAsia"/>
        </w:rPr>
        <w:t>〕</w:t>
      </w:r>
      <w:r w:rsidR="00395198">
        <w:rPr>
          <w:rFonts w:ascii="仿宋_GB2312" w:hAnsi="新宋体"/>
        </w:rPr>
        <w:t>18</w:t>
      </w:r>
      <w:r w:rsidR="00395198">
        <w:rPr>
          <w:rFonts w:ascii="仿宋_GB2312" w:hAnsi="新宋体" w:hint="eastAsia"/>
        </w:rPr>
        <w:t>号）的相关要求接受处理（调查处理责任人员）。</w:t>
      </w:r>
    </w:p>
    <w:p w:rsidR="00395198" w:rsidRDefault="00395198" w:rsidP="00395198">
      <w:pPr>
        <w:ind w:firstLine="615"/>
        <w:rPr>
          <w:rFonts w:ascii="仿宋_GB2312" w:hAnsi="新宋体"/>
        </w:rPr>
      </w:pPr>
    </w:p>
    <w:p w:rsidR="00395198" w:rsidRDefault="00395198" w:rsidP="00395198">
      <w:pPr>
        <w:tabs>
          <w:tab w:val="left" w:pos="7560"/>
        </w:tabs>
        <w:ind w:firstLine="615"/>
        <w:rPr>
          <w:rFonts w:ascii="仿宋_GB2312" w:hAnsi="新宋体"/>
        </w:rPr>
      </w:pPr>
    </w:p>
    <w:p w:rsidR="00395198" w:rsidRDefault="00395198" w:rsidP="00395198">
      <w:pPr>
        <w:tabs>
          <w:tab w:val="left" w:pos="7560"/>
        </w:tabs>
        <w:ind w:firstLine="615"/>
        <w:rPr>
          <w:rFonts w:ascii="仿宋_GB2312" w:hAnsi="新宋体"/>
        </w:rPr>
      </w:pPr>
    </w:p>
    <w:p w:rsidR="00395198" w:rsidRDefault="00395198" w:rsidP="00395198">
      <w:pPr>
        <w:ind w:leftChars="284" w:left="2822" w:hangingChars="1000" w:hanging="2198"/>
        <w:rPr>
          <w:rFonts w:ascii="仿宋_GB2312" w:hAnsi="新宋体"/>
        </w:rPr>
      </w:pPr>
      <w:r>
        <w:rPr>
          <w:rFonts w:ascii="仿宋_GB2312" w:hAnsi="新宋体"/>
        </w:rPr>
        <w:t xml:space="preserve">                    </w:t>
      </w:r>
      <w:r>
        <w:rPr>
          <w:rFonts w:ascii="仿宋_GB2312" w:hAnsi="新宋体" w:hint="eastAsia"/>
        </w:rPr>
        <w:t>校级主管领导（签名）</w:t>
      </w:r>
    </w:p>
    <w:p w:rsidR="00395198" w:rsidRDefault="00395198" w:rsidP="00395198">
      <w:pPr>
        <w:ind w:leftChars="284" w:left="2822" w:hangingChars="1000" w:hanging="2198"/>
        <w:rPr>
          <w:rFonts w:ascii="仿宋_GB2312" w:hAnsi="新宋体"/>
          <w:u w:val="single"/>
        </w:rPr>
      </w:pPr>
    </w:p>
    <w:p w:rsidR="00395198" w:rsidRDefault="00395198" w:rsidP="00395198">
      <w:pPr>
        <w:ind w:leftChars="1710" w:left="3758"/>
        <w:rPr>
          <w:rFonts w:ascii="仿宋_GB2312" w:hAnsi="新宋体"/>
        </w:rPr>
      </w:pPr>
      <w:r>
        <w:rPr>
          <w:rFonts w:ascii="仿宋_GB2312" w:hAnsi="新宋体" w:hint="eastAsia"/>
        </w:rPr>
        <w:t>单位（公章）</w:t>
      </w:r>
    </w:p>
    <w:p w:rsidR="00395198" w:rsidRDefault="00395198" w:rsidP="00395198">
      <w:pPr>
        <w:tabs>
          <w:tab w:val="left" w:pos="6660"/>
        </w:tabs>
        <w:ind w:firstLineChars="200" w:firstLine="440"/>
        <w:rPr>
          <w:rFonts w:ascii="仿宋_GB2312" w:hAnsi="新宋体"/>
        </w:rPr>
      </w:pPr>
      <w:r>
        <w:rPr>
          <w:rFonts w:ascii="仿宋_GB2312" w:hAnsi="新宋体"/>
        </w:rPr>
        <w:t xml:space="preserve">                                    </w:t>
      </w:r>
      <w:r>
        <w:rPr>
          <w:rFonts w:ascii="仿宋_GB2312" w:hAnsi="新宋体" w:hint="eastAsia"/>
        </w:rPr>
        <w:t>年</w:t>
      </w:r>
      <w:r>
        <w:rPr>
          <w:rFonts w:ascii="仿宋_GB2312" w:hAnsi="新宋体"/>
        </w:rPr>
        <w:t xml:space="preserve">   </w:t>
      </w:r>
      <w:r>
        <w:rPr>
          <w:rFonts w:ascii="仿宋_GB2312" w:hAnsi="新宋体" w:hint="eastAsia"/>
        </w:rPr>
        <w:t>月</w:t>
      </w:r>
      <w:r>
        <w:rPr>
          <w:rFonts w:ascii="仿宋_GB2312" w:hAnsi="新宋体"/>
        </w:rPr>
        <w:t xml:space="preserve">   </w:t>
      </w:r>
      <w:r>
        <w:rPr>
          <w:rFonts w:ascii="仿宋_GB2312" w:hAnsi="新宋体" w:hint="eastAsia"/>
        </w:rPr>
        <w:t>日</w:t>
      </w:r>
    </w:p>
    <w:p w:rsidR="00395198" w:rsidRDefault="00395198" w:rsidP="00395198">
      <w:pPr>
        <w:rPr>
          <w:rFonts w:ascii="仿宋_GB2312"/>
          <w:color w:val="000000"/>
          <w:sz w:val="10"/>
          <w:szCs w:val="10"/>
        </w:rPr>
      </w:pPr>
    </w:p>
    <w:p w:rsidR="00395198" w:rsidRDefault="00395198">
      <w:pPr>
        <w:widowControl/>
        <w:jc w:val="left"/>
        <w:rPr>
          <w:rFonts w:ascii="仿宋_GB2312" w:eastAsia="仿宋_GB2312"/>
          <w:sz w:val="32"/>
          <w:szCs w:val="32"/>
        </w:rPr>
      </w:pPr>
      <w:r>
        <w:rPr>
          <w:rFonts w:ascii="仿宋_GB2312" w:eastAsia="仿宋_GB2312"/>
          <w:sz w:val="32"/>
          <w:szCs w:val="32"/>
        </w:rPr>
        <w:br w:type="page"/>
      </w:r>
    </w:p>
    <w:p w:rsidR="00395198" w:rsidRDefault="00395198" w:rsidP="00395198">
      <w:pPr>
        <w:widowControl/>
        <w:jc w:val="left"/>
        <w:rPr>
          <w:rFonts w:ascii="黑体" w:eastAsia="黑体" w:hAnsi="宋体"/>
        </w:rPr>
      </w:pPr>
      <w:r>
        <w:rPr>
          <w:rFonts w:ascii="黑体" w:eastAsia="黑体" w:hAnsi="宋体" w:hint="eastAsia"/>
        </w:rPr>
        <w:lastRenderedPageBreak/>
        <w:t>附件</w:t>
      </w:r>
      <w:r>
        <w:rPr>
          <w:rFonts w:ascii="黑体" w:eastAsia="黑体" w:hAnsi="宋体"/>
        </w:rPr>
        <w:t>3</w:t>
      </w:r>
    </w:p>
    <w:p w:rsidR="00395198" w:rsidRDefault="00395198" w:rsidP="00395198">
      <w:pPr>
        <w:widowControl/>
        <w:jc w:val="left"/>
        <w:rPr>
          <w:rFonts w:ascii="黑体" w:eastAsia="黑体" w:hAnsi="宋体"/>
        </w:rPr>
      </w:pPr>
    </w:p>
    <w:p w:rsidR="00395198" w:rsidRDefault="00395198" w:rsidP="00395198">
      <w:pPr>
        <w:snapToGrid w:val="0"/>
        <w:jc w:val="center"/>
        <w:rPr>
          <w:rFonts w:ascii="方正小标宋简体" w:eastAsia="方正小标宋简体"/>
          <w:sz w:val="44"/>
          <w:szCs w:val="44"/>
        </w:rPr>
      </w:pPr>
      <w:r>
        <w:rPr>
          <w:rFonts w:ascii="方正小标宋简体" w:eastAsia="方正小标宋简体" w:hint="eastAsia"/>
          <w:sz w:val="44"/>
          <w:szCs w:val="44"/>
        </w:rPr>
        <w:t>河南省职称评聘工作责任追究办法</w:t>
      </w:r>
    </w:p>
    <w:p w:rsidR="00395198" w:rsidRDefault="00395198" w:rsidP="00395198">
      <w:pPr>
        <w:snapToGrid w:val="0"/>
        <w:jc w:val="center"/>
        <w:rPr>
          <w:rFonts w:ascii="仿宋_GB2312"/>
        </w:rPr>
      </w:pPr>
    </w:p>
    <w:p w:rsidR="00395198" w:rsidRDefault="00395198" w:rsidP="00395198">
      <w:pPr>
        <w:jc w:val="center"/>
        <w:rPr>
          <w:rFonts w:ascii="仿宋_GB2312"/>
        </w:rPr>
      </w:pPr>
      <w:r>
        <w:rPr>
          <w:rFonts w:ascii="仿宋_GB2312" w:hint="eastAsia"/>
        </w:rPr>
        <w:t>豫人社职称〔</w:t>
      </w:r>
      <w:r>
        <w:rPr>
          <w:rFonts w:ascii="仿宋_GB2312"/>
        </w:rPr>
        <w:t>2013</w:t>
      </w:r>
      <w:r>
        <w:rPr>
          <w:rFonts w:ascii="仿宋_GB2312" w:hint="eastAsia"/>
        </w:rPr>
        <w:t>〕</w:t>
      </w:r>
      <w:r>
        <w:rPr>
          <w:rFonts w:ascii="仿宋_GB2312"/>
        </w:rPr>
        <w:t>18</w:t>
      </w:r>
      <w:r>
        <w:rPr>
          <w:rFonts w:ascii="仿宋_GB2312" w:hint="eastAsia"/>
        </w:rPr>
        <w:t>号</w:t>
      </w:r>
    </w:p>
    <w:p w:rsidR="00395198" w:rsidRDefault="00395198" w:rsidP="00395198">
      <w:pPr>
        <w:ind w:firstLineChars="250" w:firstLine="549"/>
        <w:rPr>
          <w:rFonts w:ascii="仿宋_GB2312"/>
        </w:rPr>
      </w:pPr>
    </w:p>
    <w:p w:rsidR="00395198" w:rsidRDefault="00395198" w:rsidP="00395198">
      <w:pPr>
        <w:ind w:firstLineChars="200" w:firstLine="440"/>
        <w:rPr>
          <w:rFonts w:ascii="仿宋_GB2312"/>
        </w:rPr>
      </w:pPr>
      <w:r>
        <w:rPr>
          <w:rFonts w:ascii="黑体" w:eastAsia="黑体" w:hint="eastAsia"/>
        </w:rPr>
        <w:t>第一条</w:t>
      </w:r>
      <w:r>
        <w:rPr>
          <w:rFonts w:ascii="仿宋_GB2312"/>
        </w:rPr>
        <w:t xml:space="preserve">  </w:t>
      </w:r>
      <w:r>
        <w:rPr>
          <w:rFonts w:ascii="仿宋_GB2312" w:hint="eastAsia"/>
        </w:rPr>
        <w:t>为了维护我省职称评聘工作的严肃性和公正性，防止和纠正违反评聘政策、规定、纪律的行为，保证评聘工作规范有序进行，根据河南省纪律检查委员会、河南省监察厅、河南省人事厅《关于进一步严肃职称工作纪律的通知》</w:t>
      </w:r>
      <w:r>
        <w:rPr>
          <w:rFonts w:ascii="仿宋_GB2312"/>
        </w:rPr>
        <w:t>(</w:t>
      </w:r>
      <w:r>
        <w:rPr>
          <w:rFonts w:ascii="仿宋_GB2312" w:hint="eastAsia"/>
        </w:rPr>
        <w:t>豫人〔</w:t>
      </w:r>
      <w:r>
        <w:rPr>
          <w:rFonts w:ascii="仿宋_GB2312"/>
        </w:rPr>
        <w:t>2002</w:t>
      </w:r>
      <w:r>
        <w:rPr>
          <w:rFonts w:ascii="仿宋_GB2312" w:hint="eastAsia"/>
        </w:rPr>
        <w:t>〕</w:t>
      </w:r>
      <w:r>
        <w:rPr>
          <w:rFonts w:ascii="仿宋_GB2312"/>
        </w:rPr>
        <w:t>30</w:t>
      </w:r>
      <w:r>
        <w:rPr>
          <w:rFonts w:ascii="仿宋_GB2312" w:hint="eastAsia"/>
        </w:rPr>
        <w:t>号</w:t>
      </w:r>
      <w:r>
        <w:rPr>
          <w:rFonts w:ascii="仿宋_GB2312"/>
        </w:rPr>
        <w:t>)</w:t>
      </w:r>
      <w:r>
        <w:rPr>
          <w:rFonts w:ascii="仿宋_GB2312" w:hint="eastAsia"/>
        </w:rPr>
        <w:t>等有关规定精神，制定本办法。</w:t>
      </w:r>
    </w:p>
    <w:p w:rsidR="00395198" w:rsidRDefault="00395198" w:rsidP="00395198">
      <w:pPr>
        <w:ind w:firstLineChars="200" w:firstLine="440"/>
        <w:rPr>
          <w:rFonts w:ascii="仿宋_GB2312"/>
        </w:rPr>
      </w:pPr>
      <w:r>
        <w:rPr>
          <w:rFonts w:ascii="黑体" w:eastAsia="黑体" w:hint="eastAsia"/>
        </w:rPr>
        <w:t>第二条</w:t>
      </w:r>
      <w:r>
        <w:rPr>
          <w:rFonts w:ascii="仿宋_GB2312"/>
        </w:rPr>
        <w:t xml:space="preserve">  </w:t>
      </w:r>
      <w:r>
        <w:rPr>
          <w:rFonts w:ascii="仿宋_GB2312" w:hint="eastAsia"/>
        </w:rPr>
        <w:t>各级人力资源社会保障部门按照管理权限，对职称评聘工作实施监督、检查，受理举报、申诉并负责核查和裁定。</w:t>
      </w:r>
    </w:p>
    <w:p w:rsidR="00395198" w:rsidRDefault="00395198" w:rsidP="00395198">
      <w:pPr>
        <w:ind w:firstLineChars="200" w:firstLine="440"/>
        <w:rPr>
          <w:rFonts w:ascii="仿宋_GB2312"/>
        </w:rPr>
      </w:pPr>
      <w:r>
        <w:rPr>
          <w:rFonts w:ascii="黑体" w:eastAsia="黑体" w:hint="eastAsia"/>
        </w:rPr>
        <w:t>第三条</w:t>
      </w:r>
      <w:r>
        <w:rPr>
          <w:rFonts w:ascii="仿宋_GB2312"/>
        </w:rPr>
        <w:t xml:space="preserve">  </w:t>
      </w:r>
      <w:r>
        <w:rPr>
          <w:rFonts w:ascii="仿宋_GB2312" w:hint="eastAsia"/>
        </w:rPr>
        <w:t>在职称申报、推荐、审核、评审、聘任等环节中实行“谁审核，谁签名</w:t>
      </w:r>
      <w:r>
        <w:rPr>
          <w:rFonts w:ascii="仿宋_GB2312"/>
        </w:rPr>
        <w:t>;</w:t>
      </w:r>
      <w:r>
        <w:rPr>
          <w:rFonts w:ascii="仿宋_GB2312" w:hint="eastAsia"/>
        </w:rPr>
        <w:t>谁签名，谁负责”的管理责任制，哪个环节出了问题，逐级追究有关人员的责任。</w:t>
      </w:r>
    </w:p>
    <w:p w:rsidR="00395198" w:rsidRDefault="00395198" w:rsidP="00395198">
      <w:pPr>
        <w:ind w:firstLineChars="200" w:firstLine="440"/>
        <w:rPr>
          <w:rFonts w:ascii="仿宋_GB2312"/>
        </w:rPr>
      </w:pPr>
      <w:r>
        <w:rPr>
          <w:rFonts w:ascii="黑体" w:eastAsia="黑体" w:hint="eastAsia"/>
        </w:rPr>
        <w:t>第四条</w:t>
      </w:r>
      <w:r>
        <w:rPr>
          <w:rFonts w:ascii="仿宋_GB2312"/>
        </w:rPr>
        <w:t xml:space="preserve">  </w:t>
      </w:r>
      <w:r>
        <w:rPr>
          <w:rFonts w:ascii="仿宋_GB2312" w:hint="eastAsia"/>
        </w:rPr>
        <w:t>按照分级管理原则，各级人力资源社会保障部门要建立职称评审工作诚信档案，对在申报评审专业技术职务中弄虚作假、违规违纪的人员记录诚信档案，维护职称工作的声誉。</w:t>
      </w:r>
    </w:p>
    <w:p w:rsidR="00395198" w:rsidRDefault="00395198" w:rsidP="00395198">
      <w:pPr>
        <w:ind w:firstLineChars="200" w:firstLine="440"/>
        <w:rPr>
          <w:rFonts w:ascii="仿宋_GB2312"/>
        </w:rPr>
      </w:pPr>
      <w:r>
        <w:rPr>
          <w:rFonts w:ascii="黑体" w:eastAsia="黑体" w:hint="eastAsia"/>
        </w:rPr>
        <w:t>第五条</w:t>
      </w:r>
      <w:r>
        <w:rPr>
          <w:rFonts w:ascii="仿宋_GB2312"/>
        </w:rPr>
        <w:t xml:space="preserve">  </w:t>
      </w:r>
      <w:r>
        <w:rPr>
          <w:rFonts w:ascii="仿宋_GB2312" w:hint="eastAsia"/>
        </w:rPr>
        <w:t>专业技术人员在申报专业技术职务中，所提交的相关材料应当真实客观。有下列行为之一的，取消申报晋升专业技术职务的资格，已获得的专业技术资格，由审批部门予以撤销，已被聘任专业技术职务的，由聘任单位予以解聘；自查实之日起，</w:t>
      </w:r>
      <w:r>
        <w:rPr>
          <w:rFonts w:ascii="仿宋_GB2312"/>
        </w:rPr>
        <w:t>3</w:t>
      </w:r>
      <w:r>
        <w:rPr>
          <w:rFonts w:ascii="仿宋_GB2312" w:hint="eastAsia"/>
        </w:rPr>
        <w:t>年内不得晋升高一级专业技术职务；情节严重的，由有关部门给予党纪政纪处分：</w:t>
      </w:r>
    </w:p>
    <w:p w:rsidR="00395198" w:rsidRDefault="00395198" w:rsidP="00395198">
      <w:pPr>
        <w:ind w:firstLineChars="200" w:firstLine="440"/>
        <w:rPr>
          <w:rFonts w:ascii="仿宋_GB2312"/>
        </w:rPr>
      </w:pPr>
      <w:r>
        <w:rPr>
          <w:rFonts w:ascii="仿宋_GB2312" w:hint="eastAsia"/>
        </w:rPr>
        <w:t>（一）填报虚假材料的；</w:t>
      </w:r>
    </w:p>
    <w:p w:rsidR="00395198" w:rsidRDefault="00395198" w:rsidP="00395198">
      <w:pPr>
        <w:ind w:firstLineChars="200" w:firstLine="440"/>
        <w:rPr>
          <w:rFonts w:ascii="仿宋_GB2312"/>
        </w:rPr>
      </w:pPr>
      <w:r>
        <w:rPr>
          <w:rFonts w:ascii="仿宋_GB2312" w:hint="eastAsia"/>
        </w:rPr>
        <w:lastRenderedPageBreak/>
        <w:t>（二）提供假数据、假业绩、假成果、假论文论著、假获奖证明的；</w:t>
      </w:r>
    </w:p>
    <w:p w:rsidR="00395198" w:rsidRDefault="00395198" w:rsidP="00395198">
      <w:pPr>
        <w:ind w:firstLineChars="200" w:firstLine="440"/>
        <w:rPr>
          <w:rFonts w:ascii="仿宋_GB2312"/>
        </w:rPr>
      </w:pPr>
      <w:r>
        <w:rPr>
          <w:rFonts w:ascii="仿宋_GB2312" w:hint="eastAsia"/>
        </w:rPr>
        <w:t>（三）伪造学历、资格证书、任职年限等有关证件的；</w:t>
      </w:r>
    </w:p>
    <w:p w:rsidR="00395198" w:rsidRDefault="00395198" w:rsidP="00395198">
      <w:pPr>
        <w:ind w:firstLineChars="200" w:firstLine="440"/>
        <w:rPr>
          <w:rFonts w:ascii="仿宋_GB2312"/>
        </w:rPr>
      </w:pPr>
      <w:r>
        <w:rPr>
          <w:rFonts w:ascii="仿宋_GB2312" w:hint="eastAsia"/>
        </w:rPr>
        <w:t>（四）采取其他不正当手段的。</w:t>
      </w:r>
    </w:p>
    <w:p w:rsidR="00395198" w:rsidRDefault="00395198" w:rsidP="00395198">
      <w:pPr>
        <w:ind w:firstLineChars="200" w:firstLine="440"/>
        <w:rPr>
          <w:rFonts w:ascii="仿宋_GB2312"/>
        </w:rPr>
      </w:pPr>
      <w:r>
        <w:rPr>
          <w:rFonts w:ascii="黑体" w:eastAsia="黑体" w:hint="eastAsia"/>
        </w:rPr>
        <w:t>第六条</w:t>
      </w:r>
      <w:r>
        <w:rPr>
          <w:rFonts w:ascii="仿宋_GB2312"/>
        </w:rPr>
        <w:t xml:space="preserve">  </w:t>
      </w:r>
      <w:r>
        <w:rPr>
          <w:rFonts w:ascii="仿宋_GB2312" w:hint="eastAsia"/>
        </w:rPr>
        <w:t>申报单位及相关责任人应严格按照规定的程序组织申报、推荐工作，认真审核申报人申报材料的真实性，并签署意见。申报单位和相关责任人有下列情形之一的，给予单位通报批评，情节严重的，停止该单位</w:t>
      </w:r>
      <w:r>
        <w:rPr>
          <w:rFonts w:ascii="仿宋_GB2312"/>
        </w:rPr>
        <w:t>2</w:t>
      </w:r>
      <w:r>
        <w:rPr>
          <w:rFonts w:ascii="仿宋_GB2312" w:hint="eastAsia"/>
        </w:rPr>
        <w:t>年职称评聘工作，由有关部门给予单位有关领导和相关责任人党纪政纪处分；有关领导和相关责任人是专业技术人员的，在符合申报相应专业技术资格任职年限后，</w:t>
      </w:r>
      <w:r>
        <w:rPr>
          <w:rFonts w:ascii="仿宋_GB2312"/>
        </w:rPr>
        <w:t>3</w:t>
      </w:r>
      <w:r>
        <w:rPr>
          <w:rFonts w:ascii="仿宋_GB2312" w:hint="eastAsia"/>
        </w:rPr>
        <w:t>年内不得晋升高一级专业技术职务：</w:t>
      </w:r>
    </w:p>
    <w:p w:rsidR="00395198" w:rsidRDefault="00395198" w:rsidP="00395198">
      <w:pPr>
        <w:ind w:firstLineChars="200" w:firstLine="440"/>
        <w:rPr>
          <w:rFonts w:ascii="仿宋_GB2312"/>
          <w:color w:val="000000"/>
        </w:rPr>
      </w:pPr>
      <w:r>
        <w:rPr>
          <w:rFonts w:ascii="仿宋_GB2312" w:hint="eastAsia"/>
          <w:color w:val="000000"/>
        </w:rPr>
        <w:t>（一）未按照规定程序组织申报推荐的；</w:t>
      </w:r>
    </w:p>
    <w:p w:rsidR="00395198" w:rsidRDefault="00395198" w:rsidP="00395198">
      <w:pPr>
        <w:ind w:firstLineChars="200" w:firstLine="440"/>
        <w:rPr>
          <w:rFonts w:ascii="仿宋_GB2312"/>
          <w:color w:val="000000"/>
          <w:spacing w:val="-10"/>
        </w:rPr>
      </w:pPr>
      <w:r>
        <w:rPr>
          <w:rFonts w:ascii="仿宋_GB2312" w:hint="eastAsia"/>
          <w:color w:val="000000"/>
        </w:rPr>
        <w:t>（二）</w:t>
      </w:r>
      <w:r>
        <w:rPr>
          <w:rFonts w:ascii="仿宋_GB2312" w:hint="eastAsia"/>
          <w:color w:val="000000"/>
          <w:spacing w:val="-10"/>
        </w:rPr>
        <w:t>为专业技术人员评聘专业技术职务提供虚假证明材料的；</w:t>
      </w:r>
    </w:p>
    <w:p w:rsidR="00395198" w:rsidRDefault="00395198" w:rsidP="00395198">
      <w:pPr>
        <w:ind w:firstLineChars="200" w:firstLine="440"/>
        <w:rPr>
          <w:rFonts w:ascii="仿宋_GB2312"/>
          <w:color w:val="000000"/>
        </w:rPr>
      </w:pPr>
      <w:r>
        <w:rPr>
          <w:rFonts w:ascii="仿宋_GB2312" w:hint="eastAsia"/>
          <w:color w:val="000000"/>
        </w:rPr>
        <w:t>（三）擅自扩大评聘范围，为不属于评聘范围的人员申报评聘专业技术职务的；</w:t>
      </w:r>
    </w:p>
    <w:p w:rsidR="00395198" w:rsidRDefault="00395198" w:rsidP="00395198">
      <w:pPr>
        <w:ind w:firstLineChars="200" w:firstLine="440"/>
        <w:rPr>
          <w:rFonts w:ascii="仿宋_GB2312"/>
          <w:color w:val="000000"/>
        </w:rPr>
      </w:pPr>
      <w:r>
        <w:rPr>
          <w:rFonts w:ascii="仿宋_GB2312" w:hint="eastAsia"/>
          <w:color w:val="000000"/>
        </w:rPr>
        <w:t>（四）其他违纪违规行为的。</w:t>
      </w:r>
    </w:p>
    <w:p w:rsidR="00395198" w:rsidRDefault="00395198" w:rsidP="00395198">
      <w:pPr>
        <w:ind w:firstLineChars="200" w:firstLine="440"/>
        <w:rPr>
          <w:rFonts w:ascii="仿宋_GB2312"/>
          <w:color w:val="000000"/>
          <w:spacing w:val="-6"/>
        </w:rPr>
      </w:pPr>
      <w:r>
        <w:rPr>
          <w:rFonts w:ascii="黑体" w:eastAsia="黑体" w:hint="eastAsia"/>
        </w:rPr>
        <w:t>第七条</w:t>
      </w:r>
      <w:r>
        <w:rPr>
          <w:rFonts w:ascii="仿宋_GB2312"/>
          <w:color w:val="000000"/>
        </w:rPr>
        <w:t xml:space="preserve">  </w:t>
      </w:r>
      <w:r>
        <w:rPr>
          <w:rFonts w:ascii="仿宋_GB2312" w:hint="eastAsia"/>
          <w:color w:val="000000"/>
          <w:spacing w:val="-6"/>
        </w:rPr>
        <w:t>各系列（专业）评委会承办部门要认真贯彻执行国家和我省职称政策，严格按照规定的程序和要求组织职称评审工作。有下列情形之一的，予以通报批评并限期纠正，直至取消委托授权；对相关责任人视其情节轻重，由有关部门给予党纪政纪处分：</w:t>
      </w:r>
    </w:p>
    <w:p w:rsidR="00395198" w:rsidRDefault="00395198" w:rsidP="00395198">
      <w:pPr>
        <w:ind w:firstLineChars="200" w:firstLine="440"/>
        <w:rPr>
          <w:rFonts w:ascii="仿宋_GB2312"/>
          <w:color w:val="000000"/>
        </w:rPr>
      </w:pPr>
      <w:r>
        <w:rPr>
          <w:rFonts w:ascii="仿宋_GB2312" w:hint="eastAsia"/>
          <w:color w:val="000000"/>
        </w:rPr>
        <w:t>（一）在职称评审工作中违反国家和省有关政策规定，擅自降低标准条件，制定本行业、本系列职称评审政策的；</w:t>
      </w:r>
    </w:p>
    <w:p w:rsidR="00395198" w:rsidRDefault="00395198" w:rsidP="00395198">
      <w:pPr>
        <w:ind w:firstLineChars="200" w:firstLine="440"/>
        <w:rPr>
          <w:rFonts w:ascii="仿宋_GB2312"/>
          <w:color w:val="000000"/>
        </w:rPr>
      </w:pPr>
      <w:r>
        <w:rPr>
          <w:rFonts w:ascii="仿宋_GB2312" w:hint="eastAsia"/>
          <w:color w:val="000000"/>
        </w:rPr>
        <w:t>（二）超越评审权限，擅自扩大评审范围的；</w:t>
      </w:r>
    </w:p>
    <w:p w:rsidR="00395198" w:rsidRDefault="00395198" w:rsidP="00395198">
      <w:pPr>
        <w:ind w:firstLineChars="200" w:firstLine="440"/>
        <w:rPr>
          <w:rFonts w:ascii="仿宋_GB2312"/>
          <w:color w:val="000000"/>
        </w:rPr>
      </w:pPr>
      <w:r>
        <w:rPr>
          <w:rFonts w:ascii="仿宋_GB2312" w:hint="eastAsia"/>
          <w:color w:val="000000"/>
        </w:rPr>
        <w:t>（三）弄虚作假、纂改评审结果的；</w:t>
      </w:r>
    </w:p>
    <w:p w:rsidR="00395198" w:rsidRDefault="00395198" w:rsidP="00395198">
      <w:pPr>
        <w:ind w:firstLineChars="200" w:firstLine="440"/>
        <w:rPr>
          <w:rFonts w:ascii="仿宋_GB2312"/>
          <w:color w:val="000000"/>
        </w:rPr>
      </w:pPr>
      <w:r>
        <w:rPr>
          <w:rFonts w:ascii="仿宋_GB2312" w:hint="eastAsia"/>
          <w:color w:val="000000"/>
        </w:rPr>
        <w:t>（四）未经人力资源社会保障部门同意，推迟、拖延评审时间，造成不良影响的；</w:t>
      </w:r>
    </w:p>
    <w:p w:rsidR="00395198" w:rsidRDefault="00395198" w:rsidP="00395198">
      <w:pPr>
        <w:ind w:firstLineChars="200" w:firstLine="440"/>
        <w:rPr>
          <w:rFonts w:ascii="仿宋_GB2312"/>
          <w:color w:val="000000"/>
        </w:rPr>
      </w:pPr>
      <w:r>
        <w:rPr>
          <w:rFonts w:ascii="仿宋_GB2312" w:hint="eastAsia"/>
          <w:color w:val="000000"/>
        </w:rPr>
        <w:t>（五）评审工作结束后，超过期限不报送评审结果和备案结果，造成不良影响的；</w:t>
      </w:r>
    </w:p>
    <w:p w:rsidR="00395198" w:rsidRDefault="00395198" w:rsidP="00395198">
      <w:pPr>
        <w:ind w:firstLineChars="200" w:firstLine="440"/>
        <w:rPr>
          <w:rFonts w:ascii="仿宋_GB2312"/>
          <w:color w:val="000000"/>
        </w:rPr>
      </w:pPr>
      <w:r>
        <w:rPr>
          <w:rFonts w:ascii="仿宋_GB2312" w:hint="eastAsia"/>
          <w:color w:val="000000"/>
        </w:rPr>
        <w:t>（六）其他违纪违规行为的。</w:t>
      </w:r>
    </w:p>
    <w:p w:rsidR="00395198" w:rsidRDefault="00395198" w:rsidP="00395198">
      <w:pPr>
        <w:ind w:firstLineChars="200" w:firstLine="440"/>
        <w:rPr>
          <w:rFonts w:ascii="仿宋_GB2312"/>
          <w:color w:val="000000"/>
        </w:rPr>
      </w:pPr>
      <w:r>
        <w:rPr>
          <w:rFonts w:ascii="黑体" w:eastAsia="黑体" w:hint="eastAsia"/>
        </w:rPr>
        <w:lastRenderedPageBreak/>
        <w:t>第八条</w:t>
      </w:r>
      <w:r>
        <w:rPr>
          <w:rFonts w:ascii="仿宋_GB2312"/>
          <w:color w:val="000000"/>
        </w:rPr>
        <w:t xml:space="preserve">  </w:t>
      </w:r>
      <w:r>
        <w:rPr>
          <w:rFonts w:ascii="仿宋_GB2312" w:hint="eastAsia"/>
          <w:color w:val="000000"/>
        </w:rPr>
        <w:t>参加评审工作的评委及专业（学科）组成员应遵守职业道德，严守评审纪律，认真履行职责。有下列行为之一的，给予通报批评，撤销其评委和专业（学科）组成员资格，禁止其再参加评审工作；情节严重的，由有关部门给予党纪政纪处分：</w:t>
      </w:r>
    </w:p>
    <w:p w:rsidR="00395198" w:rsidRDefault="00395198" w:rsidP="00395198">
      <w:pPr>
        <w:ind w:firstLineChars="200" w:firstLine="440"/>
        <w:rPr>
          <w:rFonts w:ascii="仿宋_GB2312"/>
          <w:color w:val="000000"/>
        </w:rPr>
      </w:pPr>
      <w:r>
        <w:rPr>
          <w:rFonts w:ascii="仿宋_GB2312" w:hint="eastAsia"/>
          <w:color w:val="000000"/>
        </w:rPr>
        <w:t>（一）评审期间，无正当理由不承担分配的评审任务，或无故缺席，影响评审工作正常进行的；</w:t>
      </w:r>
    </w:p>
    <w:p w:rsidR="00395198" w:rsidRDefault="00395198" w:rsidP="00395198">
      <w:pPr>
        <w:ind w:firstLineChars="200" w:firstLine="440"/>
        <w:rPr>
          <w:rFonts w:ascii="仿宋_GB2312"/>
          <w:color w:val="000000"/>
        </w:rPr>
      </w:pPr>
      <w:r>
        <w:rPr>
          <w:rFonts w:ascii="仿宋_GB2312" w:hint="eastAsia"/>
          <w:color w:val="000000"/>
        </w:rPr>
        <w:t>（二）利用职权徇私舞弊或故意提供虚假情况，造成不良后果的；</w:t>
      </w:r>
    </w:p>
    <w:p w:rsidR="00395198" w:rsidRDefault="00395198" w:rsidP="00395198">
      <w:pPr>
        <w:ind w:firstLineChars="200" w:firstLine="440"/>
        <w:rPr>
          <w:rFonts w:ascii="仿宋_GB2312"/>
          <w:color w:val="000000"/>
        </w:rPr>
      </w:pPr>
      <w:r>
        <w:rPr>
          <w:rFonts w:ascii="仿宋_GB2312" w:hint="eastAsia"/>
          <w:color w:val="000000"/>
        </w:rPr>
        <w:t>（三）接收非正常程序递交的有关评审材料的；</w:t>
      </w:r>
    </w:p>
    <w:p w:rsidR="00395198" w:rsidRDefault="00395198" w:rsidP="00395198">
      <w:pPr>
        <w:ind w:firstLineChars="200" w:firstLine="440"/>
        <w:rPr>
          <w:rFonts w:ascii="仿宋_GB2312"/>
          <w:color w:val="000000"/>
        </w:rPr>
      </w:pPr>
      <w:r>
        <w:rPr>
          <w:rFonts w:ascii="仿宋_GB2312" w:hint="eastAsia"/>
          <w:color w:val="000000"/>
        </w:rPr>
        <w:t>（四）私自更改申报人员材料或学科组评议结果的；</w:t>
      </w:r>
    </w:p>
    <w:p w:rsidR="00395198" w:rsidRDefault="00395198" w:rsidP="00395198">
      <w:pPr>
        <w:ind w:firstLineChars="200" w:firstLine="440"/>
        <w:rPr>
          <w:rFonts w:ascii="仿宋_GB2312"/>
          <w:color w:val="000000"/>
        </w:rPr>
      </w:pPr>
      <w:r>
        <w:rPr>
          <w:rFonts w:ascii="仿宋_GB2312" w:hint="eastAsia"/>
          <w:color w:val="000000"/>
        </w:rPr>
        <w:t>（五）在涉及评审其直系亲属时未主动提出回避的；</w:t>
      </w:r>
    </w:p>
    <w:p w:rsidR="00395198" w:rsidRDefault="00395198" w:rsidP="00395198">
      <w:pPr>
        <w:ind w:firstLineChars="200" w:firstLine="440"/>
        <w:rPr>
          <w:rFonts w:ascii="仿宋_GB2312"/>
          <w:color w:val="000000"/>
        </w:rPr>
      </w:pPr>
      <w:r>
        <w:rPr>
          <w:rFonts w:ascii="仿宋_GB2312" w:hint="eastAsia"/>
          <w:color w:val="000000"/>
        </w:rPr>
        <w:t>（六）擅自向外泄露评审过程中有关答辩、讨论、评议、表决等情况的；</w:t>
      </w:r>
    </w:p>
    <w:p w:rsidR="00395198" w:rsidRDefault="00395198" w:rsidP="00395198">
      <w:pPr>
        <w:ind w:firstLineChars="200" w:firstLine="440"/>
        <w:rPr>
          <w:rFonts w:ascii="仿宋_GB2312"/>
          <w:color w:val="000000"/>
        </w:rPr>
      </w:pPr>
      <w:r>
        <w:rPr>
          <w:rFonts w:ascii="仿宋_GB2312" w:hint="eastAsia"/>
          <w:color w:val="000000"/>
        </w:rPr>
        <w:t>（七）其他有损职称评审工作行为的。</w:t>
      </w:r>
    </w:p>
    <w:p w:rsidR="00395198" w:rsidRDefault="00395198" w:rsidP="00395198">
      <w:pPr>
        <w:ind w:firstLineChars="200" w:firstLine="440"/>
        <w:rPr>
          <w:rFonts w:ascii="仿宋_GB2312"/>
          <w:color w:val="000000"/>
        </w:rPr>
      </w:pPr>
      <w:r>
        <w:rPr>
          <w:rFonts w:ascii="黑体" w:eastAsia="黑体" w:hint="eastAsia"/>
        </w:rPr>
        <w:t>第九条</w:t>
      </w:r>
      <w:r>
        <w:rPr>
          <w:rFonts w:ascii="仿宋_GB2312"/>
          <w:color w:val="000000"/>
        </w:rPr>
        <w:t xml:space="preserve">  </w:t>
      </w:r>
      <w:r>
        <w:rPr>
          <w:rFonts w:ascii="仿宋_GB2312" w:hint="eastAsia"/>
          <w:color w:val="000000"/>
        </w:rPr>
        <w:t>在专业技术人员资格考试中有违纪违规行为的，按照《专业技术人员资格考试违纪违规行为处理规定》（人力资源和社会保障部令第</w:t>
      </w:r>
      <w:r>
        <w:rPr>
          <w:rFonts w:ascii="仿宋_GB2312"/>
          <w:color w:val="000000"/>
        </w:rPr>
        <w:t>12</w:t>
      </w:r>
      <w:r>
        <w:rPr>
          <w:rFonts w:ascii="仿宋_GB2312" w:hint="eastAsia"/>
          <w:color w:val="000000"/>
        </w:rPr>
        <w:t>号）严肃处理。有关当事人是专业技术人员的，以作弊成绩取得的各类专业技术人员资格予以撤销，已被聘任专业技术职务的予以解聘；自查实之日起，</w:t>
      </w:r>
      <w:r>
        <w:rPr>
          <w:rFonts w:ascii="仿宋_GB2312"/>
          <w:color w:val="000000"/>
        </w:rPr>
        <w:t>3</w:t>
      </w:r>
      <w:r>
        <w:rPr>
          <w:rFonts w:ascii="仿宋_GB2312" w:hint="eastAsia"/>
          <w:color w:val="000000"/>
        </w:rPr>
        <w:t>年内不得晋升高一级专业技术职务。</w:t>
      </w:r>
    </w:p>
    <w:p w:rsidR="00395198" w:rsidRDefault="00395198" w:rsidP="00395198">
      <w:pPr>
        <w:ind w:firstLineChars="200" w:firstLine="440"/>
        <w:rPr>
          <w:rFonts w:ascii="仿宋_GB2312"/>
          <w:color w:val="000000"/>
        </w:rPr>
      </w:pPr>
      <w:r>
        <w:rPr>
          <w:rFonts w:ascii="黑体" w:eastAsia="黑体" w:hint="eastAsia"/>
        </w:rPr>
        <w:t>第十条</w:t>
      </w:r>
      <w:r>
        <w:rPr>
          <w:rFonts w:ascii="仿宋_GB2312"/>
          <w:color w:val="000000"/>
        </w:rPr>
        <w:t xml:space="preserve">  </w:t>
      </w:r>
      <w:r>
        <w:rPr>
          <w:rFonts w:ascii="仿宋_GB2312" w:hint="eastAsia"/>
          <w:color w:val="000000"/>
        </w:rPr>
        <w:t>从事职称管理和服务工作的人员有下列情形之一的，予以通报批评，由有关部门给予党纪政纪处分；触犯法律的，依法追究法律责任：</w:t>
      </w:r>
    </w:p>
    <w:p w:rsidR="00395198" w:rsidRDefault="00395198" w:rsidP="00395198">
      <w:pPr>
        <w:ind w:firstLineChars="200" w:firstLine="440"/>
        <w:rPr>
          <w:rFonts w:ascii="仿宋_GB2312"/>
          <w:color w:val="000000"/>
        </w:rPr>
      </w:pPr>
      <w:r>
        <w:rPr>
          <w:rFonts w:ascii="仿宋_GB2312" w:hint="eastAsia"/>
          <w:color w:val="000000"/>
        </w:rPr>
        <w:t>（一）违反评审纪律或利用职权徇私舞弊，造成不良后果的；</w:t>
      </w:r>
    </w:p>
    <w:p w:rsidR="00395198" w:rsidRDefault="00395198" w:rsidP="00395198">
      <w:pPr>
        <w:ind w:firstLineChars="200" w:firstLine="440"/>
        <w:rPr>
          <w:rFonts w:ascii="仿宋_GB2312"/>
          <w:color w:val="000000"/>
        </w:rPr>
      </w:pPr>
      <w:r>
        <w:rPr>
          <w:rFonts w:ascii="仿宋_GB2312" w:hint="eastAsia"/>
          <w:color w:val="000000"/>
        </w:rPr>
        <w:t>（二）擅自向外泄露评审过程中有关答辩、讨论、评议、表决等情况及评委会组成人员情况的；</w:t>
      </w:r>
    </w:p>
    <w:p w:rsidR="00395198" w:rsidRDefault="00395198" w:rsidP="00395198">
      <w:pPr>
        <w:ind w:firstLineChars="200" w:firstLine="440"/>
        <w:rPr>
          <w:rFonts w:ascii="仿宋_GB2312"/>
          <w:color w:val="000000"/>
        </w:rPr>
      </w:pPr>
      <w:r>
        <w:rPr>
          <w:rFonts w:ascii="仿宋_GB2312" w:hint="eastAsia"/>
          <w:color w:val="000000"/>
        </w:rPr>
        <w:t>（三）私自更改评议推荐意见或评审结果的；</w:t>
      </w:r>
    </w:p>
    <w:p w:rsidR="00395198" w:rsidRDefault="00395198" w:rsidP="00395198">
      <w:pPr>
        <w:ind w:firstLineChars="200" w:firstLine="440"/>
        <w:rPr>
          <w:rFonts w:ascii="仿宋_GB2312"/>
          <w:color w:val="000000"/>
        </w:rPr>
      </w:pPr>
      <w:r>
        <w:rPr>
          <w:rFonts w:ascii="仿宋_GB2312" w:hint="eastAsia"/>
          <w:color w:val="000000"/>
        </w:rPr>
        <w:t>（四）其他违纪违规行为的。</w:t>
      </w:r>
    </w:p>
    <w:p w:rsidR="00395198" w:rsidRDefault="00395198" w:rsidP="00395198">
      <w:pPr>
        <w:ind w:firstLineChars="200" w:firstLine="440"/>
        <w:rPr>
          <w:rFonts w:ascii="仿宋_GB2312"/>
          <w:color w:val="000000"/>
        </w:rPr>
      </w:pPr>
      <w:r>
        <w:rPr>
          <w:rFonts w:ascii="黑体" w:eastAsia="黑体" w:hint="eastAsia"/>
        </w:rPr>
        <w:lastRenderedPageBreak/>
        <w:t>第十一条</w:t>
      </w:r>
      <w:r>
        <w:rPr>
          <w:rFonts w:ascii="仿宋_GB2312"/>
          <w:color w:val="000000"/>
        </w:rPr>
        <w:t xml:space="preserve">  </w:t>
      </w:r>
      <w:r>
        <w:rPr>
          <w:rFonts w:ascii="仿宋_GB2312" w:hint="eastAsia"/>
          <w:color w:val="000000"/>
        </w:rPr>
        <w:t>事业单位工作人员在职称评聘中有其他违纪违规行为的，按照《事业单位工作人员处分暂行规定》（人力资源和社会保障部、监察部令第</w:t>
      </w:r>
      <w:r>
        <w:rPr>
          <w:rFonts w:ascii="仿宋_GB2312"/>
          <w:color w:val="000000"/>
        </w:rPr>
        <w:t>18</w:t>
      </w:r>
      <w:r>
        <w:rPr>
          <w:rFonts w:ascii="仿宋_GB2312" w:hint="eastAsia"/>
          <w:color w:val="000000"/>
        </w:rPr>
        <w:t>号）执行；企业单位可参照执行。</w:t>
      </w:r>
    </w:p>
    <w:p w:rsidR="00395198" w:rsidRDefault="00395198" w:rsidP="00395198">
      <w:pPr>
        <w:ind w:firstLineChars="200" w:firstLine="440"/>
        <w:rPr>
          <w:rFonts w:ascii="仿宋_GB2312"/>
          <w:color w:val="000000"/>
        </w:rPr>
      </w:pPr>
      <w:r>
        <w:rPr>
          <w:rFonts w:ascii="黑体" w:eastAsia="黑体" w:hint="eastAsia"/>
        </w:rPr>
        <w:t>第十二条</w:t>
      </w:r>
      <w:r>
        <w:rPr>
          <w:rFonts w:ascii="仿宋_GB2312"/>
          <w:color w:val="000000"/>
        </w:rPr>
        <w:t xml:space="preserve">  </w:t>
      </w:r>
      <w:r>
        <w:rPr>
          <w:rFonts w:ascii="仿宋_GB2312" w:hint="eastAsia"/>
          <w:color w:val="000000"/>
        </w:rPr>
        <w:t>本办法由省人力资源社会保障厅负责解释。</w:t>
      </w:r>
    </w:p>
    <w:p w:rsidR="00395198" w:rsidRDefault="00395198" w:rsidP="00395198">
      <w:pPr>
        <w:ind w:firstLineChars="200" w:firstLine="440"/>
        <w:rPr>
          <w:rFonts w:ascii="仿宋_GB2312"/>
          <w:color w:val="000000"/>
          <w:sz w:val="10"/>
          <w:szCs w:val="10"/>
        </w:rPr>
      </w:pPr>
      <w:r>
        <w:rPr>
          <w:rFonts w:ascii="黑体" w:eastAsia="黑体" w:hint="eastAsia"/>
        </w:rPr>
        <w:t>第十三条</w:t>
      </w:r>
      <w:r>
        <w:rPr>
          <w:rFonts w:ascii="仿宋_GB2312"/>
          <w:color w:val="000000"/>
        </w:rPr>
        <w:t xml:space="preserve">  </w:t>
      </w:r>
      <w:r>
        <w:rPr>
          <w:rFonts w:ascii="仿宋_GB2312" w:hint="eastAsia"/>
          <w:color w:val="000000"/>
        </w:rPr>
        <w:t>本办法自发布之日起施行。</w:t>
      </w:r>
    </w:p>
    <w:p w:rsidR="00395198" w:rsidRDefault="00395198">
      <w:pPr>
        <w:widowControl/>
        <w:jc w:val="left"/>
        <w:rPr>
          <w:rFonts w:ascii="仿宋_GB2312" w:eastAsia="仿宋_GB2312"/>
          <w:sz w:val="32"/>
          <w:szCs w:val="32"/>
        </w:rPr>
      </w:pPr>
      <w:r>
        <w:rPr>
          <w:rFonts w:ascii="仿宋_GB2312" w:eastAsia="仿宋_GB2312"/>
          <w:sz w:val="32"/>
          <w:szCs w:val="32"/>
        </w:rPr>
        <w:br w:type="page"/>
      </w:r>
    </w:p>
    <w:p w:rsidR="00395198" w:rsidRDefault="00395198" w:rsidP="00395198">
      <w:pPr>
        <w:rPr>
          <w:rFonts w:ascii="黑体" w:eastAsia="黑体" w:hAnsi="宋体"/>
          <w:color w:val="000000"/>
        </w:rPr>
      </w:pPr>
      <w:r>
        <w:rPr>
          <w:rFonts w:ascii="黑体" w:eastAsia="黑体" w:hAnsi="宋体" w:hint="eastAsia"/>
          <w:color w:val="000000"/>
        </w:rPr>
        <w:lastRenderedPageBreak/>
        <w:t>附件4</w:t>
      </w:r>
    </w:p>
    <w:p w:rsidR="00395198" w:rsidRDefault="00395198" w:rsidP="00395198">
      <w:pPr>
        <w:rPr>
          <w:rFonts w:ascii="黑体" w:eastAsia="黑体" w:hAnsi="宋体"/>
          <w:color w:val="000000"/>
        </w:rPr>
      </w:pPr>
    </w:p>
    <w:p w:rsidR="00395198" w:rsidRDefault="00395198" w:rsidP="00395198">
      <w:pPr>
        <w:snapToGrid w:val="0"/>
        <w:jc w:val="center"/>
        <w:rPr>
          <w:rFonts w:ascii="方正小标宋简体" w:eastAsia="方正小标宋简体"/>
          <w:color w:val="000000"/>
          <w:sz w:val="44"/>
          <w:szCs w:val="44"/>
        </w:rPr>
      </w:pPr>
      <w:r>
        <w:rPr>
          <w:rFonts w:ascii="方正小标宋简体" w:eastAsia="方正小标宋简体" w:hint="eastAsia"/>
          <w:color w:val="000000"/>
          <w:sz w:val="44"/>
          <w:szCs w:val="44"/>
        </w:rPr>
        <w:t>关于进一步严肃职称工作纪律的通知</w:t>
      </w:r>
    </w:p>
    <w:p w:rsidR="00395198" w:rsidRDefault="00395198" w:rsidP="00395198">
      <w:pPr>
        <w:snapToGrid w:val="0"/>
        <w:jc w:val="center"/>
        <w:rPr>
          <w:rFonts w:ascii="仿宋_GB2312"/>
          <w:color w:val="000000"/>
        </w:rPr>
      </w:pPr>
    </w:p>
    <w:p w:rsidR="00395198" w:rsidRDefault="00395198" w:rsidP="00395198">
      <w:pPr>
        <w:jc w:val="center"/>
        <w:rPr>
          <w:rFonts w:ascii="仿宋_GB2312"/>
          <w:color w:val="000000"/>
        </w:rPr>
      </w:pPr>
      <w:r>
        <w:rPr>
          <w:rFonts w:ascii="仿宋_GB2312" w:hint="eastAsia"/>
          <w:color w:val="000000"/>
        </w:rPr>
        <w:t>豫人</w:t>
      </w:r>
      <w:r>
        <w:rPr>
          <w:rFonts w:ascii="仿宋_GB2312"/>
          <w:color w:val="000000"/>
        </w:rPr>
        <w:t>[2002]30</w:t>
      </w:r>
      <w:r>
        <w:rPr>
          <w:rFonts w:ascii="仿宋_GB2312" w:hint="eastAsia"/>
          <w:color w:val="000000"/>
        </w:rPr>
        <w:t>号</w:t>
      </w:r>
    </w:p>
    <w:p w:rsidR="00395198" w:rsidRDefault="00395198" w:rsidP="00395198">
      <w:pPr>
        <w:ind w:firstLine="600"/>
        <w:rPr>
          <w:rFonts w:ascii="仿宋_GB2312"/>
          <w:color w:val="000000"/>
        </w:rPr>
      </w:pPr>
    </w:p>
    <w:p w:rsidR="00395198" w:rsidRDefault="00395198" w:rsidP="00395198">
      <w:pPr>
        <w:ind w:firstLine="600"/>
        <w:rPr>
          <w:color w:val="000000"/>
        </w:rPr>
      </w:pPr>
      <w:r>
        <w:rPr>
          <w:rFonts w:ascii="仿宋_GB2312" w:hint="eastAsia"/>
          <w:color w:val="000000"/>
        </w:rPr>
        <w:t>职称工作是人事工作的重要组成部分，是人才资源开发的重要内容，是党和政府知识分子政策的重要体现，政策性强，涉及面宽，敏感度高。加强对职称工作的监督与管理，严肃职称工作纪律，对正确贯彻执行党的干部人事方针、政策，认真实践</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三个代表</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重要思想，建设高素质专业技术人员队伍具有重要作用。为了防止违反职称政策和纪律的行为，杜绝职称工作中的不正之风，维护职称申报、评审、聘任等工作的严肃性和公正性，保证我省职称工作的健康发展，现就严肃职称工作纪律的有关问题通知如下：</w:t>
      </w:r>
    </w:p>
    <w:p w:rsidR="00395198" w:rsidRDefault="00395198" w:rsidP="00395198">
      <w:pPr>
        <w:ind w:firstLine="600"/>
        <w:rPr>
          <w:color w:val="000000"/>
        </w:rPr>
      </w:pPr>
      <w:r>
        <w:rPr>
          <w:rFonts w:ascii="仿宋_GB2312" w:hint="eastAsia"/>
          <w:color w:val="000000"/>
        </w:rPr>
        <w:t>一、专业技术人员在申报、参评专业技术职务任职资格时，应实事求是地总结自己的工作业绩，如实填报、提供有关材料，不得弄虚作假。有伪造学历、资历、外语考试成绩、论文著作、科研成果、获奖证明、工作业绩等弄虚作假行为者，一律取消其申报资格，已取得专业技术职务任职资格的予以撤销，已被聘任专业技术职务的予以解聘；自查实之日起，三年内不得晋升高一级专业技术职务；责任人是中共党员或国家工作人员的，视情节轻重，分别给予党纪政纪处分。</w:t>
      </w:r>
      <w:r>
        <w:rPr>
          <w:color w:val="000000"/>
        </w:rPr>
        <w:t> </w:t>
      </w:r>
    </w:p>
    <w:p w:rsidR="00395198" w:rsidRDefault="00395198" w:rsidP="00395198">
      <w:pPr>
        <w:ind w:firstLine="600"/>
        <w:rPr>
          <w:color w:val="000000"/>
        </w:rPr>
      </w:pPr>
      <w:r>
        <w:rPr>
          <w:rFonts w:ascii="仿宋_GB2312" w:hint="eastAsia"/>
          <w:color w:val="000000"/>
        </w:rPr>
        <w:t>二、用人单位应严格按照</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公开、展示、考核、评议、监督</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的推荐办法和分级负责制的要求进行申报、推荐工作，认真审核申报人员申报材料的真实性，并负责地签署意见。不得为不真实的材料提供证明，不得为弄虚作假的人员提供帮助。凡未按规定的程序和要求开展申报、推荐工作的单位，应予以纠正，拒不纠正的，停止其当年度职称评审工作，</w:t>
      </w:r>
      <w:r>
        <w:rPr>
          <w:rFonts w:ascii="仿宋_GB2312" w:hint="eastAsia"/>
          <w:color w:val="000000"/>
        </w:rPr>
        <w:lastRenderedPageBreak/>
        <w:t>推荐、评审结果一律无效；用人单位在职称评聘工作中蓄意弄虚作假、集体串通舞弊的，停止该单位两年职称评聘工作，并给予单位主要负责人党纪或政纪处分；有关组织和经办人蓄意隐瞒事实，为申报人员的虚假评聘材料提供证明的，责令予以纠正，并视情节轻重对直接责任人员给予党纪政纪处分；直接责任人是专业技术人员的，三年内不得晋升高一级专业技术职务。</w:t>
      </w:r>
      <w:r>
        <w:rPr>
          <w:color w:val="000000"/>
        </w:rPr>
        <w:t> </w:t>
      </w:r>
    </w:p>
    <w:p w:rsidR="00395198" w:rsidRDefault="00395198" w:rsidP="00395198">
      <w:pPr>
        <w:ind w:firstLine="600"/>
        <w:rPr>
          <w:color w:val="000000"/>
        </w:rPr>
      </w:pPr>
      <w:r>
        <w:rPr>
          <w:rFonts w:ascii="仿宋_GB2312" w:hint="eastAsia"/>
          <w:color w:val="000000"/>
        </w:rPr>
        <w:t>三、专业技术职务任职资格评审委员会工作人员应认真做好申报人员评审材料的接收、审核工作，不得接收虚假和未经资格审查的申报人材料。违反规定的，责令予以纠正，并视情节轻重给予党纪政纪处分。</w:t>
      </w:r>
      <w:r>
        <w:rPr>
          <w:color w:val="000000"/>
        </w:rPr>
        <w:t> </w:t>
      </w:r>
    </w:p>
    <w:p w:rsidR="00395198" w:rsidRDefault="00395198" w:rsidP="00395198">
      <w:pPr>
        <w:ind w:firstLineChars="200" w:firstLine="440"/>
        <w:rPr>
          <w:rFonts w:ascii="仿宋_GB2312"/>
          <w:color w:val="000000"/>
        </w:rPr>
      </w:pPr>
      <w:r>
        <w:rPr>
          <w:rFonts w:ascii="仿宋_GB2312" w:hint="eastAsia"/>
          <w:color w:val="000000"/>
        </w:rPr>
        <w:t>四、专业技术职务任职资格评审委员会及其专业（学科）组成员应遵守评审纪律，保守工作秘密，认真审阅申报人员各项材料，严格按照规定对申报人员作出科学、客观、公正的评价。不得对弄虚作假材料知情不报，不得私自更改申报人员材料和评委会（学科组）评议结果，不得为申报人员游说、拉票，不得接受申报人员及所在单位的宴请和礼品、礼金，不得利用职权徇私舞弊或打击压制申报人员。评审期间，未经批准不得与申报人员接触。违反规定者，取消其评委和专业（学科）组成员资格；情节严重的，给予党纪政纪处分。</w:t>
      </w:r>
      <w:r>
        <w:rPr>
          <w:color w:val="000000"/>
        </w:rPr>
        <w:t> </w:t>
      </w:r>
    </w:p>
    <w:p w:rsidR="00395198" w:rsidRDefault="00395198" w:rsidP="00395198">
      <w:pPr>
        <w:ind w:firstLineChars="200" w:firstLine="440"/>
        <w:rPr>
          <w:rFonts w:ascii="仿宋_GB2312"/>
          <w:color w:val="000000"/>
        </w:rPr>
      </w:pPr>
      <w:r>
        <w:rPr>
          <w:rFonts w:ascii="仿宋_GB2312" w:hint="eastAsia"/>
          <w:color w:val="000000"/>
        </w:rPr>
        <w:t>五、各级人事（职称）部门要大力推行政务公开，坚持公开、公平、公正的原则，做到职称政策公开、专业技术职务岗位公开、专业技术职务任职资格评审程序和评审结果公开，自觉接受纪检、监察部门和专业技术人员的监督。各级职称管理工作人员应坚持原则，大胆管理，热情服务，廉洁从政。在专业技术职务结构比例审核、申报人员资格审查、专业技术职务任职资格证书办理等工作中，不得利用职务之便谋取个人私利，不得为弄虚作假的人员办理有关手续，不得违反国家财经纪律和财政、物价部门规定的收费标准乱收、多收有关费用。违反规定的，应立即纠正，并视情节轻重给予党纪政纪处分。</w:t>
      </w:r>
      <w:r>
        <w:rPr>
          <w:color w:val="000000"/>
        </w:rPr>
        <w:t> </w:t>
      </w:r>
    </w:p>
    <w:p w:rsidR="00395198" w:rsidRDefault="00395198" w:rsidP="00395198">
      <w:pPr>
        <w:ind w:firstLine="600"/>
        <w:rPr>
          <w:color w:val="000000"/>
        </w:rPr>
      </w:pPr>
      <w:r>
        <w:rPr>
          <w:rFonts w:ascii="仿宋_GB2312" w:hint="eastAsia"/>
          <w:color w:val="000000"/>
        </w:rPr>
        <w:t>六、根据国务院《关于加强职称改革工作统一管理的通知》（国办发</w:t>
      </w:r>
      <w:r>
        <w:rPr>
          <w:rFonts w:ascii="仿宋_GB2312"/>
          <w:color w:val="000000"/>
        </w:rPr>
        <w:t xml:space="preserve"> [1995]1 </w:t>
      </w:r>
      <w:r>
        <w:rPr>
          <w:rFonts w:ascii="仿宋_GB2312" w:hint="eastAsia"/>
          <w:color w:val="000000"/>
        </w:rPr>
        <w:t>号）精</w:t>
      </w:r>
      <w:r>
        <w:rPr>
          <w:rFonts w:ascii="仿宋_GB2312" w:hint="eastAsia"/>
          <w:color w:val="000000"/>
        </w:rPr>
        <w:lastRenderedPageBreak/>
        <w:t>神，职称改革工作实行统一领导、统一管理。未经相应政府人事部门批准，各地、各单位不得自行建立新的专业技术职务系列，不得擅自组建专业技术职务任职资格评审委员会，不得制发与国家和我省职称政策相抵触的政策性文件。违反规定者，责令予以纠正，对负有直接责任的部门、单位予以通报批评；情节严重的，按照党风廉政建设责任制的规定，对部门、单位有关领导给予党纪政纪处分。</w:t>
      </w:r>
      <w:r>
        <w:rPr>
          <w:color w:val="000000"/>
        </w:rPr>
        <w:t> </w:t>
      </w:r>
    </w:p>
    <w:p w:rsidR="00395198" w:rsidRDefault="00395198" w:rsidP="00395198">
      <w:pPr>
        <w:ind w:firstLine="600"/>
        <w:rPr>
          <w:color w:val="000000"/>
        </w:rPr>
      </w:pPr>
      <w:r>
        <w:rPr>
          <w:color w:val="000000"/>
        </w:rPr>
        <w:t> </w:t>
      </w:r>
      <w:r>
        <w:rPr>
          <w:rFonts w:ascii="仿宋_GB2312" w:hint="eastAsia"/>
          <w:color w:val="000000"/>
        </w:rPr>
        <w:t>七、实行专业技术职务任职资格评审通过人员公示制度。凡评审委员会评审通过人员，均需由人事（职称）部门或用人单位进行公示，广泛听取意见，自觉接受监督。经公示后无异议的人员，由人事部门按照管理权限下发资格任职通知；公示中有问题的人员，人事部门要会同有关单位认真查证落实，并按规定严肃处理。凡未经公示的评审通过人员，不予下发任职资格通知。</w:t>
      </w:r>
      <w:r>
        <w:rPr>
          <w:color w:val="000000"/>
        </w:rPr>
        <w:t> </w:t>
      </w:r>
    </w:p>
    <w:p w:rsidR="00395198" w:rsidRDefault="00395198" w:rsidP="00395198">
      <w:pPr>
        <w:ind w:firstLine="600"/>
        <w:rPr>
          <w:color w:val="000000"/>
        </w:rPr>
      </w:pPr>
      <w:r>
        <w:rPr>
          <w:color w:val="000000"/>
        </w:rPr>
        <w:t> </w:t>
      </w:r>
      <w:r>
        <w:rPr>
          <w:rFonts w:ascii="仿宋_GB2312" w:hint="eastAsia"/>
          <w:color w:val="000000"/>
        </w:rPr>
        <w:t>八、实行责任追究制度。各地、各单位要进一步完善职称工作有关制度，规范工作程序，强化监督、制约机制。在职称申报、推荐、评审、聘任等环节中实行</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谁审核，谁签名；谁签名，谁负责</w:t>
      </w:r>
      <w:r>
        <w:rPr>
          <w:rFonts w:ascii="仿宋_GB2312"/>
          <w:color w:val="000000"/>
        </w:rPr>
        <w:t xml:space="preserve"> </w:t>
      </w:r>
      <w:r>
        <w:rPr>
          <w:rFonts w:ascii="仿宋_GB2312" w:hint="eastAsia"/>
          <w:color w:val="000000"/>
        </w:rPr>
        <w:t>”</w:t>
      </w:r>
      <w:r>
        <w:rPr>
          <w:rFonts w:ascii="仿宋_GB2312"/>
          <w:color w:val="000000"/>
        </w:rPr>
        <w:t xml:space="preserve"> </w:t>
      </w:r>
      <w:r>
        <w:rPr>
          <w:rFonts w:ascii="仿宋_GB2312" w:hint="eastAsia"/>
          <w:color w:val="000000"/>
        </w:rPr>
        <w:t>的管理责任制，哪个环节、哪个方面出了问题，逐级追究有关人员的责任。</w:t>
      </w:r>
      <w:r>
        <w:rPr>
          <w:color w:val="000000"/>
        </w:rPr>
        <w:t> </w:t>
      </w:r>
    </w:p>
    <w:p w:rsidR="00395198" w:rsidRDefault="00395198" w:rsidP="00395198">
      <w:pPr>
        <w:ind w:firstLine="600"/>
        <w:rPr>
          <w:rFonts w:ascii="仿宋_GB2312"/>
          <w:color w:val="000000"/>
        </w:rPr>
      </w:pPr>
      <w:r>
        <w:rPr>
          <w:rFonts w:ascii="仿宋_GB2312" w:hint="eastAsia"/>
          <w:color w:val="000000"/>
        </w:rPr>
        <w:t>九、违反上述要求的部门、单位和责任人，按照管理权限，由纪检监察机关、人事部门、主管单位根据有关规定进行处理。</w:t>
      </w:r>
    </w:p>
    <w:p w:rsidR="00395198" w:rsidRDefault="00395198" w:rsidP="00395198">
      <w:pPr>
        <w:ind w:firstLineChars="200" w:firstLine="440"/>
        <w:rPr>
          <w:rFonts w:ascii="仿宋_GB2312"/>
          <w:color w:val="000000"/>
        </w:rPr>
      </w:pPr>
    </w:p>
    <w:p w:rsidR="00395198" w:rsidRDefault="00395198" w:rsidP="00395198">
      <w:pPr>
        <w:ind w:firstLineChars="200" w:firstLine="440"/>
        <w:rPr>
          <w:rFonts w:ascii="仿宋_GB2312"/>
          <w:color w:val="000000"/>
        </w:rPr>
      </w:pPr>
    </w:p>
    <w:p w:rsidR="00395198" w:rsidRDefault="00395198" w:rsidP="00395198">
      <w:pPr>
        <w:ind w:firstLineChars="200" w:firstLine="440"/>
        <w:rPr>
          <w:rFonts w:ascii="仿宋_GB2312"/>
          <w:color w:val="000000"/>
        </w:rPr>
      </w:pPr>
    </w:p>
    <w:p w:rsidR="00395198" w:rsidRDefault="00395198" w:rsidP="00395198">
      <w:pPr>
        <w:ind w:firstLineChars="2" w:firstLine="4"/>
        <w:rPr>
          <w:rFonts w:ascii="仿宋_GB2312"/>
          <w:color w:val="000000"/>
        </w:rPr>
      </w:pPr>
      <w:r>
        <w:rPr>
          <w:color w:val="000000"/>
        </w:rPr>
        <w:t>                               </w:t>
      </w:r>
      <w:r>
        <w:rPr>
          <w:rFonts w:ascii="仿宋_GB2312" w:hint="eastAsia"/>
          <w:color w:val="000000"/>
        </w:rPr>
        <w:t>中共河南省纪律检查委员会</w:t>
      </w:r>
      <w:r>
        <w:rPr>
          <w:color w:val="000000"/>
        </w:rPr>
        <w:t> </w:t>
      </w:r>
      <w:r>
        <w:rPr>
          <w:rFonts w:ascii="仿宋_GB2312"/>
          <w:color w:val="000000"/>
        </w:rPr>
        <w:br/>
      </w:r>
      <w:r>
        <w:rPr>
          <w:color w:val="000000"/>
        </w:rPr>
        <w:t>                            </w:t>
      </w:r>
      <w:r>
        <w:rPr>
          <w:rFonts w:ascii="仿宋_GB2312"/>
          <w:color w:val="000000"/>
        </w:rPr>
        <w:t xml:space="preserve"> </w:t>
      </w:r>
      <w:r>
        <w:rPr>
          <w:rFonts w:ascii="仿宋_GB2312" w:hint="eastAsia"/>
          <w:color w:val="000000"/>
        </w:rPr>
        <w:t>河</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南</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省</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监</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察</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厅</w:t>
      </w:r>
      <w:r>
        <w:rPr>
          <w:color w:val="000000"/>
        </w:rPr>
        <w:t> </w:t>
      </w:r>
      <w:r>
        <w:rPr>
          <w:rFonts w:ascii="仿宋_GB2312"/>
          <w:color w:val="000000"/>
        </w:rPr>
        <w:br/>
      </w:r>
      <w:r>
        <w:rPr>
          <w:color w:val="000000"/>
        </w:rPr>
        <w:t>                             </w:t>
      </w:r>
      <w:r>
        <w:rPr>
          <w:rFonts w:ascii="仿宋_GB2312"/>
          <w:color w:val="000000"/>
        </w:rPr>
        <w:t xml:space="preserve"> </w:t>
      </w:r>
      <w:r>
        <w:rPr>
          <w:rFonts w:ascii="仿宋_GB2312" w:hint="eastAsia"/>
          <w:color w:val="000000"/>
        </w:rPr>
        <w:t>河</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南</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省</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人</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事</w:t>
      </w:r>
      <w:r>
        <w:rPr>
          <w:rFonts w:ascii="仿宋_GB2312"/>
          <w:color w:val="000000"/>
        </w:rPr>
        <w:t xml:space="preserve"> </w:t>
      </w:r>
      <w:r>
        <w:rPr>
          <w:color w:val="000000"/>
        </w:rPr>
        <w:t> </w:t>
      </w:r>
      <w:r>
        <w:rPr>
          <w:rFonts w:ascii="仿宋_GB2312"/>
          <w:color w:val="000000"/>
        </w:rPr>
        <w:t xml:space="preserve"> </w:t>
      </w:r>
      <w:r>
        <w:rPr>
          <w:rFonts w:ascii="仿宋_GB2312" w:hint="eastAsia"/>
          <w:color w:val="000000"/>
        </w:rPr>
        <w:t>厅</w:t>
      </w:r>
      <w:r>
        <w:rPr>
          <w:color w:val="000000"/>
        </w:rPr>
        <w:t> </w:t>
      </w:r>
      <w:r>
        <w:rPr>
          <w:rFonts w:ascii="仿宋_GB2312"/>
          <w:color w:val="000000"/>
        </w:rPr>
        <w:br/>
      </w:r>
      <w:r>
        <w:rPr>
          <w:color w:val="000000"/>
        </w:rPr>
        <w:lastRenderedPageBreak/>
        <w:t>                                      </w:t>
      </w:r>
      <w:r>
        <w:rPr>
          <w:rFonts w:ascii="仿宋_GB2312"/>
          <w:color w:val="000000"/>
        </w:rPr>
        <w:t xml:space="preserve"> </w:t>
      </w:r>
      <w:r>
        <w:rPr>
          <w:rFonts w:ascii="仿宋_GB2312" w:hint="eastAsia"/>
          <w:color w:val="000000"/>
        </w:rPr>
        <w:t>二</w:t>
      </w:r>
      <w:r>
        <w:rPr>
          <w:rFonts w:ascii="仿宋" w:eastAsia="仿宋" w:hAnsi="仿宋" w:hint="eastAsia"/>
          <w:color w:val="000000"/>
        </w:rPr>
        <w:t>ΟΟ</w:t>
      </w:r>
      <w:r>
        <w:rPr>
          <w:rFonts w:ascii="仿宋_GB2312" w:hint="eastAsia"/>
          <w:color w:val="000000"/>
        </w:rPr>
        <w:t>二年四月一日</w:t>
      </w:r>
    </w:p>
    <w:p w:rsidR="00395198" w:rsidRDefault="00395198" w:rsidP="00395198">
      <w:pPr>
        <w:ind w:firstLineChars="200" w:firstLine="440"/>
        <w:rPr>
          <w:rFonts w:ascii="仿宋_GB2312"/>
          <w:color w:val="000000"/>
        </w:rPr>
      </w:pPr>
    </w:p>
    <w:p w:rsidR="00395198" w:rsidRPr="00395198" w:rsidRDefault="00395198" w:rsidP="00395198">
      <w:pPr>
        <w:rPr>
          <w:rFonts w:ascii="仿宋_GB2312" w:eastAsia="仿宋_GB2312"/>
          <w:sz w:val="32"/>
          <w:szCs w:val="32"/>
        </w:rPr>
      </w:pPr>
    </w:p>
    <w:sectPr w:rsidR="00395198" w:rsidRPr="00395198">
      <w:footerReference w:type="even" r:id="rId7"/>
      <w:footerReference w:type="default" r:id="rId8"/>
      <w:pgSz w:w="11906" w:h="16838"/>
      <w:pgMar w:top="1928" w:right="1588" w:bottom="1985" w:left="1644" w:header="0" w:footer="1588" w:gutter="0"/>
      <w:cols w:space="720"/>
      <w:docGrid w:type="linesAndChars" w:linePitch="587" w:charSpace="2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B00" w:rsidRDefault="00B20B00">
      <w:r>
        <w:separator/>
      </w:r>
    </w:p>
  </w:endnote>
  <w:endnote w:type="continuationSeparator" w:id="0">
    <w:p w:rsidR="00B20B00" w:rsidRDefault="00B2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Fonts w:ascii="仿宋_GB2312"/>
        <w:sz w:val="30"/>
        <w:szCs w:val="30"/>
      </w:rPr>
    </w:pPr>
    <w:r>
      <w:rPr>
        <w:rStyle w:val="a6"/>
        <w:rFonts w:ascii="仿宋_GB2312" w:hint="eastAsia"/>
        <w:sz w:val="30"/>
        <w:szCs w:val="30"/>
      </w:rPr>
      <w:t xml:space="preserve">— </w:t>
    </w:r>
    <w:r>
      <w:rPr>
        <w:rFonts w:ascii="仿宋_GB2312" w:hint="eastAsia"/>
        <w:sz w:val="30"/>
        <w:szCs w:val="30"/>
      </w:rPr>
      <w:fldChar w:fldCharType="begin"/>
    </w:r>
    <w:r>
      <w:rPr>
        <w:rStyle w:val="a6"/>
        <w:rFonts w:ascii="仿宋_GB2312" w:hint="eastAsia"/>
        <w:sz w:val="30"/>
        <w:szCs w:val="30"/>
      </w:rPr>
      <w:instrText xml:space="preserve"> PAGE </w:instrText>
    </w:r>
    <w:r>
      <w:rPr>
        <w:rFonts w:ascii="仿宋_GB2312" w:hint="eastAsia"/>
        <w:sz w:val="30"/>
        <w:szCs w:val="30"/>
      </w:rPr>
      <w:fldChar w:fldCharType="separate"/>
    </w:r>
    <w:r w:rsidR="007C17A6">
      <w:rPr>
        <w:rStyle w:val="a6"/>
        <w:rFonts w:ascii="仿宋_GB2312"/>
        <w:noProof/>
        <w:sz w:val="30"/>
        <w:szCs w:val="30"/>
      </w:rPr>
      <w:t>7</w:t>
    </w:r>
    <w:r>
      <w:rPr>
        <w:rFonts w:ascii="仿宋_GB2312" w:hint="eastAsia"/>
        <w:sz w:val="30"/>
        <w:szCs w:val="30"/>
      </w:rPr>
      <w:fldChar w:fldCharType="end"/>
    </w:r>
    <w:r>
      <w:rPr>
        <w:rStyle w:val="a6"/>
        <w:rFonts w:ascii="仿宋_GB2312" w:hint="eastAsia"/>
        <w:sz w:val="30"/>
        <w:szCs w:val="30"/>
      </w:rPr>
      <w:t xml:space="preserve"> —</w:t>
    </w:r>
  </w:p>
  <w:p w:rsidR="00667C92" w:rsidRDefault="00667C92">
    <w:pPr>
      <w:pStyle w:val="a5"/>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Pr>
    </w:pPr>
    <w:r>
      <w:fldChar w:fldCharType="begin"/>
    </w:r>
    <w:r>
      <w:rPr>
        <w:rStyle w:val="a6"/>
      </w:rPr>
      <w:instrText xml:space="preserve">PAGE  </w:instrText>
    </w:r>
    <w:r>
      <w:fldChar w:fldCharType="end"/>
    </w:r>
  </w:p>
  <w:p w:rsidR="00667C92" w:rsidRDefault="00667C92">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C92" w:rsidRDefault="00545C15">
    <w:pPr>
      <w:pStyle w:val="a5"/>
      <w:framePr w:wrap="around" w:vAnchor="text" w:hAnchor="margin" w:xAlign="outside" w:y="1"/>
      <w:rPr>
        <w:rStyle w:val="a6"/>
        <w:rFonts w:ascii="仿宋_GB2312"/>
        <w:sz w:val="30"/>
        <w:szCs w:val="30"/>
      </w:rPr>
    </w:pPr>
    <w:r>
      <w:rPr>
        <w:rStyle w:val="a6"/>
        <w:rFonts w:ascii="仿宋_GB2312" w:hint="eastAsia"/>
        <w:sz w:val="30"/>
        <w:szCs w:val="30"/>
      </w:rPr>
      <w:t xml:space="preserve">— </w:t>
    </w:r>
    <w:r>
      <w:rPr>
        <w:rFonts w:ascii="仿宋_GB2312" w:hint="eastAsia"/>
        <w:sz w:val="30"/>
        <w:szCs w:val="30"/>
      </w:rPr>
      <w:fldChar w:fldCharType="begin"/>
    </w:r>
    <w:r>
      <w:rPr>
        <w:rStyle w:val="a6"/>
        <w:rFonts w:ascii="仿宋_GB2312" w:hint="eastAsia"/>
        <w:sz w:val="30"/>
        <w:szCs w:val="30"/>
      </w:rPr>
      <w:instrText xml:space="preserve"> PAGE </w:instrText>
    </w:r>
    <w:r>
      <w:rPr>
        <w:rFonts w:ascii="仿宋_GB2312" w:hint="eastAsia"/>
        <w:sz w:val="30"/>
        <w:szCs w:val="30"/>
      </w:rPr>
      <w:fldChar w:fldCharType="separate"/>
    </w:r>
    <w:r w:rsidR="007C17A6">
      <w:rPr>
        <w:rStyle w:val="a6"/>
        <w:rFonts w:ascii="仿宋_GB2312"/>
        <w:noProof/>
        <w:sz w:val="30"/>
        <w:szCs w:val="30"/>
      </w:rPr>
      <w:t>16</w:t>
    </w:r>
    <w:r>
      <w:rPr>
        <w:rFonts w:ascii="仿宋_GB2312" w:hint="eastAsia"/>
        <w:sz w:val="30"/>
        <w:szCs w:val="30"/>
      </w:rPr>
      <w:fldChar w:fldCharType="end"/>
    </w:r>
    <w:r>
      <w:rPr>
        <w:rStyle w:val="a6"/>
        <w:rFonts w:ascii="仿宋_GB2312" w:hint="eastAsia"/>
        <w:sz w:val="30"/>
        <w:szCs w:val="30"/>
      </w:rPr>
      <w:t xml:space="preserve"> —</w:t>
    </w:r>
  </w:p>
  <w:p w:rsidR="00667C92" w:rsidRDefault="00667C92">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B00" w:rsidRDefault="00B20B00">
      <w:r>
        <w:separator/>
      </w:r>
    </w:p>
  </w:footnote>
  <w:footnote w:type="continuationSeparator" w:id="0">
    <w:p w:rsidR="00B20B00" w:rsidRDefault="00B20B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FE7"/>
    <w:rsid w:val="000465A9"/>
    <w:rsid w:val="00395198"/>
    <w:rsid w:val="004C3910"/>
    <w:rsid w:val="00545C15"/>
    <w:rsid w:val="005A32BA"/>
    <w:rsid w:val="00667C92"/>
    <w:rsid w:val="006F74C0"/>
    <w:rsid w:val="007C17A6"/>
    <w:rsid w:val="00857461"/>
    <w:rsid w:val="00A14FC0"/>
    <w:rsid w:val="00B20B00"/>
    <w:rsid w:val="00B22479"/>
    <w:rsid w:val="00BD7FE7"/>
    <w:rsid w:val="00C23718"/>
    <w:rsid w:val="00FD7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6C2C57-EC4B-43D3-8C03-F4D27B6B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5198"/>
    <w:rPr>
      <w:strike w:val="0"/>
      <w:dstrike w:val="0"/>
      <w:color w:val="2D2D2D"/>
      <w:u w:val="none"/>
      <w:effect w:val="none"/>
    </w:rPr>
  </w:style>
  <w:style w:type="character" w:styleId="a4">
    <w:name w:val="Strong"/>
    <w:basedOn w:val="a0"/>
    <w:uiPriority w:val="22"/>
    <w:qFormat/>
    <w:rsid w:val="00395198"/>
    <w:rPr>
      <w:b/>
      <w:bCs/>
    </w:rPr>
  </w:style>
  <w:style w:type="character" w:customStyle="1" w:styleId="Char">
    <w:name w:val="页脚 Char"/>
    <w:basedOn w:val="a0"/>
    <w:link w:val="a5"/>
    <w:locked/>
    <w:rsid w:val="00395198"/>
    <w:rPr>
      <w:rFonts w:ascii="Calibri" w:eastAsia="仿宋_GB2312" w:hAnsi="Calibri"/>
      <w:sz w:val="18"/>
      <w:szCs w:val="18"/>
    </w:rPr>
  </w:style>
  <w:style w:type="character" w:styleId="a6">
    <w:name w:val="page number"/>
    <w:basedOn w:val="a0"/>
    <w:rsid w:val="00395198"/>
  </w:style>
  <w:style w:type="paragraph" w:styleId="a5">
    <w:name w:val="footer"/>
    <w:basedOn w:val="a"/>
    <w:link w:val="Char"/>
    <w:rsid w:val="00395198"/>
    <w:pPr>
      <w:tabs>
        <w:tab w:val="center" w:pos="4153"/>
        <w:tab w:val="right" w:pos="8306"/>
      </w:tabs>
      <w:snapToGrid w:val="0"/>
      <w:jc w:val="left"/>
    </w:pPr>
    <w:rPr>
      <w:rFonts w:ascii="Calibri" w:eastAsia="仿宋_GB2312" w:hAnsi="Calibri"/>
      <w:sz w:val="18"/>
      <w:szCs w:val="18"/>
    </w:rPr>
  </w:style>
  <w:style w:type="character" w:customStyle="1" w:styleId="Char1">
    <w:name w:val="页脚 Char1"/>
    <w:basedOn w:val="a0"/>
    <w:uiPriority w:val="99"/>
    <w:semiHidden/>
    <w:rsid w:val="00395198"/>
    <w:rPr>
      <w:sz w:val="18"/>
      <w:szCs w:val="18"/>
    </w:rPr>
  </w:style>
  <w:style w:type="paragraph" w:customStyle="1" w:styleId="Char0">
    <w:name w:val="Char"/>
    <w:basedOn w:val="a"/>
    <w:rsid w:val="00395198"/>
    <w:rPr>
      <w:rFonts w:ascii="仿宋_GB2312" w:eastAsia="仿宋_GB2312" w:hAnsi="Times New Roman" w:cs="Times New Roman"/>
      <w:b/>
      <w:sz w:val="32"/>
      <w:szCs w:val="32"/>
    </w:rPr>
  </w:style>
  <w:style w:type="paragraph" w:styleId="a7">
    <w:name w:val="header"/>
    <w:basedOn w:val="a"/>
    <w:link w:val="Char2"/>
    <w:uiPriority w:val="99"/>
    <w:unhideWhenUsed/>
    <w:rsid w:val="005A32B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5A32BA"/>
    <w:rPr>
      <w:sz w:val="18"/>
      <w:szCs w:val="18"/>
    </w:rPr>
  </w:style>
  <w:style w:type="paragraph" w:styleId="a8">
    <w:name w:val="Balloon Text"/>
    <w:basedOn w:val="a"/>
    <w:link w:val="Char3"/>
    <w:uiPriority w:val="99"/>
    <w:semiHidden/>
    <w:unhideWhenUsed/>
    <w:rsid w:val="00FD7D94"/>
    <w:rPr>
      <w:sz w:val="18"/>
      <w:szCs w:val="18"/>
    </w:rPr>
  </w:style>
  <w:style w:type="character" w:customStyle="1" w:styleId="Char3">
    <w:name w:val="批注框文本 Char"/>
    <w:basedOn w:val="a0"/>
    <w:link w:val="a8"/>
    <w:uiPriority w:val="99"/>
    <w:semiHidden/>
    <w:rsid w:val="00FD7D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778899">
      <w:bodyDiv w:val="1"/>
      <w:marLeft w:val="0"/>
      <w:marRight w:val="0"/>
      <w:marTop w:val="0"/>
      <w:marBottom w:val="0"/>
      <w:divBdr>
        <w:top w:val="none" w:sz="0" w:space="0" w:color="auto"/>
        <w:left w:val="none" w:sz="0" w:space="0" w:color="auto"/>
        <w:bottom w:val="none" w:sz="0" w:space="0" w:color="auto"/>
        <w:right w:val="none" w:sz="0" w:space="0" w:color="auto"/>
      </w:divBdr>
      <w:divsChild>
        <w:div w:id="1526479924">
          <w:marLeft w:val="0"/>
          <w:marRight w:val="0"/>
          <w:marTop w:val="0"/>
          <w:marBottom w:val="0"/>
          <w:divBdr>
            <w:top w:val="none" w:sz="0" w:space="0" w:color="auto"/>
            <w:left w:val="none" w:sz="0" w:space="0" w:color="auto"/>
            <w:bottom w:val="none" w:sz="0" w:space="0" w:color="auto"/>
            <w:right w:val="none" w:sz="0" w:space="0" w:color="auto"/>
          </w:divBdr>
          <w:divsChild>
            <w:div w:id="734815375">
              <w:marLeft w:val="0"/>
              <w:marRight w:val="0"/>
              <w:marTop w:val="0"/>
              <w:marBottom w:val="0"/>
              <w:divBdr>
                <w:top w:val="none" w:sz="0" w:space="0" w:color="auto"/>
                <w:left w:val="none" w:sz="0" w:space="0" w:color="auto"/>
                <w:bottom w:val="none" w:sz="0" w:space="0" w:color="auto"/>
                <w:right w:val="none" w:sz="0" w:space="0" w:color="auto"/>
              </w:divBdr>
              <w:divsChild>
                <w:div w:id="1219434672">
                  <w:marLeft w:val="0"/>
                  <w:marRight w:val="0"/>
                  <w:marTop w:val="120"/>
                  <w:marBottom w:val="0"/>
                  <w:divBdr>
                    <w:top w:val="none" w:sz="0" w:space="0" w:color="auto"/>
                    <w:left w:val="none" w:sz="0" w:space="0" w:color="auto"/>
                    <w:bottom w:val="none" w:sz="0" w:space="0" w:color="auto"/>
                    <w:right w:val="none" w:sz="0" w:space="0" w:color="auto"/>
                  </w:divBdr>
                  <w:divsChild>
                    <w:div w:id="1128931682">
                      <w:marLeft w:val="0"/>
                      <w:marRight w:val="0"/>
                      <w:marTop w:val="0"/>
                      <w:marBottom w:val="0"/>
                      <w:divBdr>
                        <w:top w:val="none" w:sz="0" w:space="0" w:color="auto"/>
                        <w:left w:val="none" w:sz="0" w:space="0" w:color="auto"/>
                        <w:bottom w:val="none" w:sz="0" w:space="0" w:color="auto"/>
                        <w:right w:val="none" w:sz="0" w:space="0" w:color="auto"/>
                      </w:divBdr>
                      <w:divsChild>
                        <w:div w:id="1425997942">
                          <w:marLeft w:val="0"/>
                          <w:marRight w:val="0"/>
                          <w:marTop w:val="0"/>
                          <w:marBottom w:val="0"/>
                          <w:divBdr>
                            <w:top w:val="none" w:sz="0" w:space="0" w:color="auto"/>
                            <w:left w:val="single" w:sz="6" w:space="15" w:color="CCCCCC"/>
                            <w:bottom w:val="single" w:sz="6" w:space="15" w:color="CCCCCC"/>
                            <w:right w:val="single" w:sz="6" w:space="15" w:color="CCCCCC"/>
                          </w:divBdr>
                          <w:divsChild>
                            <w:div w:id="865023420">
                              <w:marLeft w:val="0"/>
                              <w:marRight w:val="0"/>
                              <w:marTop w:val="30"/>
                              <w:marBottom w:val="0"/>
                              <w:divBdr>
                                <w:top w:val="none" w:sz="0" w:space="0" w:color="auto"/>
                                <w:left w:val="none" w:sz="0" w:space="0" w:color="auto"/>
                                <w:bottom w:val="none" w:sz="0" w:space="0" w:color="auto"/>
                                <w:right w:val="none" w:sz="0" w:space="0" w:color="auto"/>
                              </w:divBdr>
                            </w:div>
                            <w:div w:id="40908279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59308">
      <w:bodyDiv w:val="1"/>
      <w:marLeft w:val="0"/>
      <w:marRight w:val="0"/>
      <w:marTop w:val="0"/>
      <w:marBottom w:val="0"/>
      <w:divBdr>
        <w:top w:val="none" w:sz="0" w:space="0" w:color="auto"/>
        <w:left w:val="none" w:sz="0" w:space="0" w:color="auto"/>
        <w:bottom w:val="none" w:sz="0" w:space="0" w:color="auto"/>
        <w:right w:val="none" w:sz="0" w:space="0" w:color="auto"/>
      </w:divBdr>
      <w:divsChild>
        <w:div w:id="870996880">
          <w:marLeft w:val="0"/>
          <w:marRight w:val="0"/>
          <w:marTop w:val="0"/>
          <w:marBottom w:val="0"/>
          <w:divBdr>
            <w:top w:val="none" w:sz="0" w:space="0" w:color="auto"/>
            <w:left w:val="none" w:sz="0" w:space="0" w:color="auto"/>
            <w:bottom w:val="none" w:sz="0" w:space="0" w:color="auto"/>
            <w:right w:val="none" w:sz="0" w:space="0" w:color="auto"/>
          </w:divBdr>
          <w:divsChild>
            <w:div w:id="1763842294">
              <w:marLeft w:val="0"/>
              <w:marRight w:val="0"/>
              <w:marTop w:val="0"/>
              <w:marBottom w:val="0"/>
              <w:divBdr>
                <w:top w:val="none" w:sz="0" w:space="0" w:color="auto"/>
                <w:left w:val="none" w:sz="0" w:space="0" w:color="auto"/>
                <w:bottom w:val="none" w:sz="0" w:space="0" w:color="auto"/>
                <w:right w:val="none" w:sz="0" w:space="0" w:color="auto"/>
              </w:divBdr>
              <w:divsChild>
                <w:div w:id="122307228">
                  <w:marLeft w:val="0"/>
                  <w:marRight w:val="0"/>
                  <w:marTop w:val="120"/>
                  <w:marBottom w:val="0"/>
                  <w:divBdr>
                    <w:top w:val="none" w:sz="0" w:space="0" w:color="auto"/>
                    <w:left w:val="none" w:sz="0" w:space="0" w:color="auto"/>
                    <w:bottom w:val="none" w:sz="0" w:space="0" w:color="auto"/>
                    <w:right w:val="none" w:sz="0" w:space="0" w:color="auto"/>
                  </w:divBdr>
                  <w:divsChild>
                    <w:div w:id="1440376506">
                      <w:marLeft w:val="0"/>
                      <w:marRight w:val="0"/>
                      <w:marTop w:val="0"/>
                      <w:marBottom w:val="0"/>
                      <w:divBdr>
                        <w:top w:val="none" w:sz="0" w:space="0" w:color="auto"/>
                        <w:left w:val="none" w:sz="0" w:space="0" w:color="auto"/>
                        <w:bottom w:val="none" w:sz="0" w:space="0" w:color="auto"/>
                        <w:right w:val="none" w:sz="0" w:space="0" w:color="auto"/>
                      </w:divBdr>
                      <w:divsChild>
                        <w:div w:id="1872185615">
                          <w:marLeft w:val="0"/>
                          <w:marRight w:val="0"/>
                          <w:marTop w:val="0"/>
                          <w:marBottom w:val="0"/>
                          <w:divBdr>
                            <w:top w:val="none" w:sz="0" w:space="0" w:color="auto"/>
                            <w:left w:val="single" w:sz="6" w:space="15" w:color="CCCCCC"/>
                            <w:bottom w:val="single" w:sz="6" w:space="15" w:color="CCCCCC"/>
                            <w:right w:val="single" w:sz="6" w:space="15" w:color="CCCCCC"/>
                          </w:divBdr>
                          <w:divsChild>
                            <w:div w:id="179005940">
                              <w:marLeft w:val="0"/>
                              <w:marRight w:val="0"/>
                              <w:marTop w:val="150"/>
                              <w:marBottom w:val="0"/>
                              <w:divBdr>
                                <w:top w:val="none" w:sz="0" w:space="0" w:color="auto"/>
                                <w:left w:val="none" w:sz="0" w:space="0" w:color="auto"/>
                                <w:bottom w:val="none" w:sz="0" w:space="0" w:color="auto"/>
                                <w:right w:val="none" w:sz="0" w:space="0" w:color="auto"/>
                              </w:divBdr>
                              <w:divsChild>
                                <w:div w:id="234828496">
                                  <w:marLeft w:val="0"/>
                                  <w:marRight w:val="0"/>
                                  <w:marTop w:val="0"/>
                                  <w:marBottom w:val="0"/>
                                  <w:divBdr>
                                    <w:top w:val="none" w:sz="0" w:space="0" w:color="auto"/>
                                    <w:left w:val="none" w:sz="0" w:space="0" w:color="auto"/>
                                    <w:bottom w:val="none" w:sz="0" w:space="0" w:color="auto"/>
                                    <w:right w:val="none" w:sz="0" w:space="0" w:color="auto"/>
                                  </w:divBdr>
                                </w:div>
                                <w:div w:id="1614048846">
                                  <w:marLeft w:val="0"/>
                                  <w:marRight w:val="0"/>
                                  <w:marTop w:val="0"/>
                                  <w:marBottom w:val="0"/>
                                  <w:divBdr>
                                    <w:top w:val="none" w:sz="0" w:space="0" w:color="auto"/>
                                    <w:left w:val="none" w:sz="0" w:space="0" w:color="auto"/>
                                    <w:bottom w:val="none" w:sz="0" w:space="0" w:color="auto"/>
                                    <w:right w:val="none" w:sz="0" w:space="0" w:color="auto"/>
                                  </w:divBdr>
                                </w:div>
                                <w:div w:id="1066876892">
                                  <w:marLeft w:val="0"/>
                                  <w:marRight w:val="0"/>
                                  <w:marTop w:val="0"/>
                                  <w:marBottom w:val="0"/>
                                  <w:divBdr>
                                    <w:top w:val="none" w:sz="0" w:space="0" w:color="auto"/>
                                    <w:left w:val="none" w:sz="0" w:space="0" w:color="auto"/>
                                    <w:bottom w:val="none" w:sz="0" w:space="0" w:color="auto"/>
                                    <w:right w:val="none" w:sz="0" w:space="0" w:color="auto"/>
                                  </w:divBdr>
                                </w:div>
                                <w:div w:id="2036076961">
                                  <w:marLeft w:val="0"/>
                                  <w:marRight w:val="0"/>
                                  <w:marTop w:val="0"/>
                                  <w:marBottom w:val="0"/>
                                  <w:divBdr>
                                    <w:top w:val="none" w:sz="0" w:space="0" w:color="auto"/>
                                    <w:left w:val="none" w:sz="0" w:space="0" w:color="auto"/>
                                    <w:bottom w:val="none" w:sz="0" w:space="0" w:color="auto"/>
                                    <w:right w:val="none" w:sz="0" w:space="0" w:color="auto"/>
                                  </w:divBdr>
                                </w:div>
                                <w:div w:id="1608003619">
                                  <w:marLeft w:val="0"/>
                                  <w:marRight w:val="0"/>
                                  <w:marTop w:val="0"/>
                                  <w:marBottom w:val="0"/>
                                  <w:divBdr>
                                    <w:top w:val="none" w:sz="0" w:space="0" w:color="auto"/>
                                    <w:left w:val="none" w:sz="0" w:space="0" w:color="auto"/>
                                    <w:bottom w:val="none" w:sz="0" w:space="0" w:color="auto"/>
                                    <w:right w:val="none" w:sz="0" w:space="0" w:color="auto"/>
                                  </w:divBdr>
                                </w:div>
                                <w:div w:id="1305819411">
                                  <w:marLeft w:val="0"/>
                                  <w:marRight w:val="0"/>
                                  <w:marTop w:val="0"/>
                                  <w:marBottom w:val="0"/>
                                  <w:divBdr>
                                    <w:top w:val="none" w:sz="0" w:space="0" w:color="auto"/>
                                    <w:left w:val="none" w:sz="0" w:space="0" w:color="auto"/>
                                    <w:bottom w:val="none" w:sz="0" w:space="0" w:color="auto"/>
                                    <w:right w:val="none" w:sz="0" w:space="0" w:color="auto"/>
                                  </w:divBdr>
                                </w:div>
                                <w:div w:id="531499494">
                                  <w:marLeft w:val="0"/>
                                  <w:marRight w:val="0"/>
                                  <w:marTop w:val="0"/>
                                  <w:marBottom w:val="0"/>
                                  <w:divBdr>
                                    <w:top w:val="none" w:sz="0" w:space="0" w:color="auto"/>
                                    <w:left w:val="none" w:sz="0" w:space="0" w:color="auto"/>
                                    <w:bottom w:val="none" w:sz="0" w:space="0" w:color="auto"/>
                                    <w:right w:val="none" w:sz="0" w:space="0" w:color="auto"/>
                                  </w:divBdr>
                                </w:div>
                                <w:div w:id="998267665">
                                  <w:marLeft w:val="0"/>
                                  <w:marRight w:val="0"/>
                                  <w:marTop w:val="0"/>
                                  <w:marBottom w:val="0"/>
                                  <w:divBdr>
                                    <w:top w:val="none" w:sz="0" w:space="0" w:color="auto"/>
                                    <w:left w:val="none" w:sz="0" w:space="0" w:color="auto"/>
                                    <w:bottom w:val="none" w:sz="0" w:space="0" w:color="auto"/>
                                    <w:right w:val="none" w:sz="0" w:space="0" w:color="auto"/>
                                  </w:divBdr>
                                </w:div>
                                <w:div w:id="1293442864">
                                  <w:marLeft w:val="0"/>
                                  <w:marRight w:val="0"/>
                                  <w:marTop w:val="0"/>
                                  <w:marBottom w:val="0"/>
                                  <w:divBdr>
                                    <w:top w:val="none" w:sz="0" w:space="0" w:color="auto"/>
                                    <w:left w:val="none" w:sz="0" w:space="0" w:color="auto"/>
                                    <w:bottom w:val="none" w:sz="0" w:space="0" w:color="auto"/>
                                    <w:right w:val="none" w:sz="0" w:space="0" w:color="auto"/>
                                  </w:divBdr>
                                </w:div>
                                <w:div w:id="1409425423">
                                  <w:marLeft w:val="0"/>
                                  <w:marRight w:val="0"/>
                                  <w:marTop w:val="0"/>
                                  <w:marBottom w:val="0"/>
                                  <w:divBdr>
                                    <w:top w:val="none" w:sz="0" w:space="0" w:color="auto"/>
                                    <w:left w:val="none" w:sz="0" w:space="0" w:color="auto"/>
                                    <w:bottom w:val="none" w:sz="0" w:space="0" w:color="auto"/>
                                    <w:right w:val="none" w:sz="0" w:space="0" w:color="auto"/>
                                  </w:divBdr>
                                </w:div>
                                <w:div w:id="1916237906">
                                  <w:marLeft w:val="0"/>
                                  <w:marRight w:val="0"/>
                                  <w:marTop w:val="0"/>
                                  <w:marBottom w:val="0"/>
                                  <w:divBdr>
                                    <w:top w:val="none" w:sz="0" w:space="0" w:color="auto"/>
                                    <w:left w:val="none" w:sz="0" w:space="0" w:color="auto"/>
                                    <w:bottom w:val="none" w:sz="0" w:space="0" w:color="auto"/>
                                    <w:right w:val="none" w:sz="0" w:space="0" w:color="auto"/>
                                  </w:divBdr>
                                </w:div>
                                <w:div w:id="140931110">
                                  <w:marLeft w:val="0"/>
                                  <w:marRight w:val="0"/>
                                  <w:marTop w:val="0"/>
                                  <w:marBottom w:val="0"/>
                                  <w:divBdr>
                                    <w:top w:val="none" w:sz="0" w:space="0" w:color="auto"/>
                                    <w:left w:val="none" w:sz="0" w:space="0" w:color="auto"/>
                                    <w:bottom w:val="none" w:sz="0" w:space="0" w:color="auto"/>
                                    <w:right w:val="none" w:sz="0" w:space="0" w:color="auto"/>
                                  </w:divBdr>
                                </w:div>
                                <w:div w:id="443622232">
                                  <w:marLeft w:val="0"/>
                                  <w:marRight w:val="0"/>
                                  <w:marTop w:val="0"/>
                                  <w:marBottom w:val="0"/>
                                  <w:divBdr>
                                    <w:top w:val="none" w:sz="0" w:space="0" w:color="auto"/>
                                    <w:left w:val="none" w:sz="0" w:space="0" w:color="auto"/>
                                    <w:bottom w:val="none" w:sz="0" w:space="0" w:color="auto"/>
                                    <w:right w:val="none" w:sz="0" w:space="0" w:color="auto"/>
                                  </w:divBdr>
                                </w:div>
                                <w:div w:id="1720786234">
                                  <w:marLeft w:val="0"/>
                                  <w:marRight w:val="0"/>
                                  <w:marTop w:val="0"/>
                                  <w:marBottom w:val="0"/>
                                  <w:divBdr>
                                    <w:top w:val="none" w:sz="0" w:space="0" w:color="auto"/>
                                    <w:left w:val="none" w:sz="0" w:space="0" w:color="auto"/>
                                    <w:bottom w:val="none" w:sz="0" w:space="0" w:color="auto"/>
                                    <w:right w:val="none" w:sz="0" w:space="0" w:color="auto"/>
                                  </w:divBdr>
                                </w:div>
                                <w:div w:id="1393306955">
                                  <w:marLeft w:val="0"/>
                                  <w:marRight w:val="0"/>
                                  <w:marTop w:val="0"/>
                                  <w:marBottom w:val="0"/>
                                  <w:divBdr>
                                    <w:top w:val="none" w:sz="0" w:space="0" w:color="auto"/>
                                    <w:left w:val="none" w:sz="0" w:space="0" w:color="auto"/>
                                    <w:bottom w:val="none" w:sz="0" w:space="0" w:color="auto"/>
                                    <w:right w:val="none" w:sz="0" w:space="0" w:color="auto"/>
                                  </w:divBdr>
                                </w:div>
                                <w:div w:id="892622250">
                                  <w:marLeft w:val="0"/>
                                  <w:marRight w:val="0"/>
                                  <w:marTop w:val="0"/>
                                  <w:marBottom w:val="0"/>
                                  <w:divBdr>
                                    <w:top w:val="none" w:sz="0" w:space="0" w:color="auto"/>
                                    <w:left w:val="none" w:sz="0" w:space="0" w:color="auto"/>
                                    <w:bottom w:val="none" w:sz="0" w:space="0" w:color="auto"/>
                                    <w:right w:val="none" w:sz="0" w:space="0" w:color="auto"/>
                                  </w:divBdr>
                                </w:div>
                                <w:div w:id="241178835">
                                  <w:marLeft w:val="0"/>
                                  <w:marRight w:val="0"/>
                                  <w:marTop w:val="0"/>
                                  <w:marBottom w:val="0"/>
                                  <w:divBdr>
                                    <w:top w:val="none" w:sz="0" w:space="0" w:color="auto"/>
                                    <w:left w:val="none" w:sz="0" w:space="0" w:color="auto"/>
                                    <w:bottom w:val="none" w:sz="0" w:space="0" w:color="auto"/>
                                    <w:right w:val="none" w:sz="0" w:space="0" w:color="auto"/>
                                  </w:divBdr>
                                </w:div>
                                <w:div w:id="1574851371">
                                  <w:marLeft w:val="0"/>
                                  <w:marRight w:val="0"/>
                                  <w:marTop w:val="0"/>
                                  <w:marBottom w:val="0"/>
                                  <w:divBdr>
                                    <w:top w:val="none" w:sz="0" w:space="0" w:color="auto"/>
                                    <w:left w:val="none" w:sz="0" w:space="0" w:color="auto"/>
                                    <w:bottom w:val="none" w:sz="0" w:space="0" w:color="auto"/>
                                    <w:right w:val="none" w:sz="0" w:space="0" w:color="auto"/>
                                  </w:divBdr>
                                </w:div>
                                <w:div w:id="822770006">
                                  <w:marLeft w:val="0"/>
                                  <w:marRight w:val="0"/>
                                  <w:marTop w:val="0"/>
                                  <w:marBottom w:val="0"/>
                                  <w:divBdr>
                                    <w:top w:val="none" w:sz="0" w:space="0" w:color="auto"/>
                                    <w:left w:val="none" w:sz="0" w:space="0" w:color="auto"/>
                                    <w:bottom w:val="none" w:sz="0" w:space="0" w:color="auto"/>
                                    <w:right w:val="none" w:sz="0" w:space="0" w:color="auto"/>
                                  </w:divBdr>
                                </w:div>
                                <w:div w:id="117916656">
                                  <w:marLeft w:val="0"/>
                                  <w:marRight w:val="0"/>
                                  <w:marTop w:val="0"/>
                                  <w:marBottom w:val="0"/>
                                  <w:divBdr>
                                    <w:top w:val="none" w:sz="0" w:space="0" w:color="auto"/>
                                    <w:left w:val="none" w:sz="0" w:space="0" w:color="auto"/>
                                    <w:bottom w:val="none" w:sz="0" w:space="0" w:color="auto"/>
                                    <w:right w:val="none" w:sz="0" w:space="0" w:color="auto"/>
                                  </w:divBdr>
                                </w:div>
                                <w:div w:id="1913394778">
                                  <w:marLeft w:val="0"/>
                                  <w:marRight w:val="0"/>
                                  <w:marTop w:val="0"/>
                                  <w:marBottom w:val="0"/>
                                  <w:divBdr>
                                    <w:top w:val="none" w:sz="0" w:space="0" w:color="auto"/>
                                    <w:left w:val="none" w:sz="0" w:space="0" w:color="auto"/>
                                    <w:bottom w:val="none" w:sz="0" w:space="0" w:color="auto"/>
                                    <w:right w:val="none" w:sz="0" w:space="0" w:color="auto"/>
                                  </w:divBdr>
                                </w:div>
                                <w:div w:id="375617622">
                                  <w:marLeft w:val="0"/>
                                  <w:marRight w:val="0"/>
                                  <w:marTop w:val="0"/>
                                  <w:marBottom w:val="0"/>
                                  <w:divBdr>
                                    <w:top w:val="none" w:sz="0" w:space="0" w:color="auto"/>
                                    <w:left w:val="none" w:sz="0" w:space="0" w:color="auto"/>
                                    <w:bottom w:val="none" w:sz="0" w:space="0" w:color="auto"/>
                                    <w:right w:val="none" w:sz="0" w:space="0" w:color="auto"/>
                                  </w:divBdr>
                                </w:div>
                                <w:div w:id="618757648">
                                  <w:marLeft w:val="0"/>
                                  <w:marRight w:val="0"/>
                                  <w:marTop w:val="0"/>
                                  <w:marBottom w:val="0"/>
                                  <w:divBdr>
                                    <w:top w:val="none" w:sz="0" w:space="0" w:color="auto"/>
                                    <w:left w:val="none" w:sz="0" w:space="0" w:color="auto"/>
                                    <w:bottom w:val="none" w:sz="0" w:space="0" w:color="auto"/>
                                    <w:right w:val="none" w:sz="0" w:space="0" w:color="auto"/>
                                  </w:divBdr>
                                </w:div>
                                <w:div w:id="1638995210">
                                  <w:marLeft w:val="0"/>
                                  <w:marRight w:val="0"/>
                                  <w:marTop w:val="0"/>
                                  <w:marBottom w:val="0"/>
                                  <w:divBdr>
                                    <w:top w:val="none" w:sz="0" w:space="0" w:color="auto"/>
                                    <w:left w:val="none" w:sz="0" w:space="0" w:color="auto"/>
                                    <w:bottom w:val="none" w:sz="0" w:space="0" w:color="auto"/>
                                    <w:right w:val="none" w:sz="0" w:space="0" w:color="auto"/>
                                  </w:divBdr>
                                </w:div>
                                <w:div w:id="1092749153">
                                  <w:marLeft w:val="0"/>
                                  <w:marRight w:val="0"/>
                                  <w:marTop w:val="0"/>
                                  <w:marBottom w:val="0"/>
                                  <w:divBdr>
                                    <w:top w:val="none" w:sz="0" w:space="0" w:color="auto"/>
                                    <w:left w:val="none" w:sz="0" w:space="0" w:color="auto"/>
                                    <w:bottom w:val="none" w:sz="0" w:space="0" w:color="auto"/>
                                    <w:right w:val="none" w:sz="0" w:space="0" w:color="auto"/>
                                  </w:divBdr>
                                </w:div>
                                <w:div w:id="793983277">
                                  <w:marLeft w:val="0"/>
                                  <w:marRight w:val="0"/>
                                  <w:marTop w:val="0"/>
                                  <w:marBottom w:val="0"/>
                                  <w:divBdr>
                                    <w:top w:val="none" w:sz="0" w:space="0" w:color="auto"/>
                                    <w:left w:val="none" w:sz="0" w:space="0" w:color="auto"/>
                                    <w:bottom w:val="none" w:sz="0" w:space="0" w:color="auto"/>
                                    <w:right w:val="none" w:sz="0" w:space="0" w:color="auto"/>
                                  </w:divBdr>
                                </w:div>
                                <w:div w:id="396246609">
                                  <w:marLeft w:val="0"/>
                                  <w:marRight w:val="0"/>
                                  <w:marTop w:val="0"/>
                                  <w:marBottom w:val="0"/>
                                  <w:divBdr>
                                    <w:top w:val="none" w:sz="0" w:space="0" w:color="auto"/>
                                    <w:left w:val="none" w:sz="0" w:space="0" w:color="auto"/>
                                    <w:bottom w:val="none" w:sz="0" w:space="0" w:color="auto"/>
                                    <w:right w:val="none" w:sz="0" w:space="0" w:color="auto"/>
                                  </w:divBdr>
                                </w:div>
                                <w:div w:id="1264727554">
                                  <w:marLeft w:val="0"/>
                                  <w:marRight w:val="0"/>
                                  <w:marTop w:val="0"/>
                                  <w:marBottom w:val="0"/>
                                  <w:divBdr>
                                    <w:top w:val="none" w:sz="0" w:space="0" w:color="auto"/>
                                    <w:left w:val="none" w:sz="0" w:space="0" w:color="auto"/>
                                    <w:bottom w:val="none" w:sz="0" w:space="0" w:color="auto"/>
                                    <w:right w:val="none" w:sz="0" w:space="0" w:color="auto"/>
                                  </w:divBdr>
                                </w:div>
                                <w:div w:id="53545949">
                                  <w:marLeft w:val="0"/>
                                  <w:marRight w:val="0"/>
                                  <w:marTop w:val="0"/>
                                  <w:marBottom w:val="0"/>
                                  <w:divBdr>
                                    <w:top w:val="none" w:sz="0" w:space="0" w:color="auto"/>
                                    <w:left w:val="none" w:sz="0" w:space="0" w:color="auto"/>
                                    <w:bottom w:val="none" w:sz="0" w:space="0" w:color="auto"/>
                                    <w:right w:val="none" w:sz="0" w:space="0" w:color="auto"/>
                                  </w:divBdr>
                                </w:div>
                                <w:div w:id="788281080">
                                  <w:marLeft w:val="0"/>
                                  <w:marRight w:val="0"/>
                                  <w:marTop w:val="0"/>
                                  <w:marBottom w:val="0"/>
                                  <w:divBdr>
                                    <w:top w:val="none" w:sz="0" w:space="0" w:color="auto"/>
                                    <w:left w:val="none" w:sz="0" w:space="0" w:color="auto"/>
                                    <w:bottom w:val="none" w:sz="0" w:space="0" w:color="auto"/>
                                    <w:right w:val="none" w:sz="0" w:space="0" w:color="auto"/>
                                  </w:divBdr>
                                </w:div>
                                <w:div w:id="1382825576">
                                  <w:marLeft w:val="0"/>
                                  <w:marRight w:val="0"/>
                                  <w:marTop w:val="0"/>
                                  <w:marBottom w:val="0"/>
                                  <w:divBdr>
                                    <w:top w:val="none" w:sz="0" w:space="0" w:color="auto"/>
                                    <w:left w:val="none" w:sz="0" w:space="0" w:color="auto"/>
                                    <w:bottom w:val="none" w:sz="0" w:space="0" w:color="auto"/>
                                    <w:right w:val="none" w:sz="0" w:space="0" w:color="auto"/>
                                  </w:divBdr>
                                </w:div>
                                <w:div w:id="849834696">
                                  <w:marLeft w:val="0"/>
                                  <w:marRight w:val="0"/>
                                  <w:marTop w:val="0"/>
                                  <w:marBottom w:val="0"/>
                                  <w:divBdr>
                                    <w:top w:val="none" w:sz="0" w:space="0" w:color="auto"/>
                                    <w:left w:val="none" w:sz="0" w:space="0" w:color="auto"/>
                                    <w:bottom w:val="none" w:sz="0" w:space="0" w:color="auto"/>
                                    <w:right w:val="none" w:sz="0" w:space="0" w:color="auto"/>
                                  </w:divBdr>
                                </w:div>
                                <w:div w:id="23208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DAFFB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16</Pages>
  <Words>1218</Words>
  <Characters>6946</Characters>
  <Application>Microsoft Office Word</Application>
  <DocSecurity>0</DocSecurity>
  <Lines>57</Lines>
  <Paragraphs>16</Paragraphs>
  <ScaleCrop>false</ScaleCrop>
  <Company>china</Company>
  <LinksUpToDate>false</LinksUpToDate>
  <CharactersWithSpaces>8148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8</cp:revision>
  <cp:lastPrinted>2016-11-01T09:32:00Z</cp:lastPrinted>
  <dcterms:created xsi:type="dcterms:W3CDTF">2016-10-13T13:46:00Z</dcterms:created>
  <dcterms:modified xsi:type="dcterms:W3CDTF">2017-10-19T06:38:00Z</dcterms:modified>
</cp:coreProperties>
</file>